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BA07C" w14:textId="77777777" w:rsidR="00C85971" w:rsidRPr="007F4CC8" w:rsidRDefault="00C85971" w:rsidP="00C85971">
      <w:pPr>
        <w:pStyle w:val="Annexetitre"/>
      </w:pPr>
      <w:r>
        <w:t>VIII PIELIKUMS – Norādījumi par pašu kapitāla informācijas atklāšanas veidnēm</w:t>
      </w:r>
    </w:p>
    <w:p w14:paraId="2B58A8D0" w14:textId="77777777" w:rsidR="00C85971" w:rsidRPr="007F4CC8" w:rsidRDefault="00C85971" w:rsidP="00C85971">
      <w:pPr>
        <w:rPr>
          <w:rFonts w:ascii="Times New Roman" w:hAnsi="Times New Roman" w:cs="Times New Roman"/>
          <w:sz w:val="24"/>
        </w:rPr>
      </w:pPr>
    </w:p>
    <w:p w14:paraId="0350FF78" w14:textId="77777777" w:rsidR="00C85971" w:rsidRPr="007F4CC8" w:rsidRDefault="00C85971" w:rsidP="00C85971">
      <w:pPr>
        <w:rPr>
          <w:rFonts w:ascii="Times New Roman" w:hAnsi="Times New Roman" w:cs="Times New Roman"/>
          <w:b/>
          <w:bCs/>
          <w:sz w:val="24"/>
        </w:rPr>
      </w:pPr>
      <w:r>
        <w:rPr>
          <w:rFonts w:ascii="Times New Roman" w:hAnsi="Times New Roman"/>
          <w:b/>
          <w:sz w:val="24"/>
        </w:rPr>
        <w:t>Veidne EU CC1 – Regulatīvajām prasībām atbilstošā pašu kapitāla sastāvs</w:t>
      </w:r>
    </w:p>
    <w:p w14:paraId="55655225" w14:textId="77777777" w:rsidR="00C85971" w:rsidRPr="007F4CC8" w:rsidRDefault="00C85971" w:rsidP="00C85971">
      <w:pPr>
        <w:rPr>
          <w:rFonts w:ascii="Times New Roman" w:hAnsi="Times New Roman" w:cs="Times New Roman"/>
          <w:sz w:val="24"/>
        </w:rPr>
      </w:pPr>
    </w:p>
    <w:p w14:paraId="2B0D2E16" w14:textId="73E98823"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Iestādes atklāj </w:t>
      </w:r>
      <w:r>
        <w:rPr>
          <w:rFonts w:ascii="Times New Roman" w:hAnsi="Times New Roman"/>
          <w:color w:val="000000"/>
          <w:sz w:val="24"/>
        </w:rPr>
        <w:t>Regulas (ES) Nr. 575/2013</w:t>
      </w:r>
      <w:r w:rsidRPr="007F4CC8">
        <w:rPr>
          <w:rStyle w:val="FootnoteReference"/>
          <w:rFonts w:cs="Times New Roman"/>
          <w:color w:val="000000"/>
        </w:rPr>
        <w:footnoteReference w:id="1"/>
      </w:r>
      <w:r>
        <w:rPr>
          <w:rFonts w:ascii="Times New Roman" w:hAnsi="Times New Roman"/>
          <w:sz w:val="24"/>
        </w:rPr>
        <w:t xml:space="preserve"> </w:t>
      </w:r>
      <w:r>
        <w:rPr>
          <w:rFonts w:ascii="Times New Roman" w:hAnsi="Times New Roman"/>
          <w:color w:val="000000"/>
          <w:sz w:val="24"/>
        </w:rPr>
        <w:t>(“</w:t>
      </w:r>
      <w:r>
        <w:rPr>
          <w:rFonts w:ascii="Times New Roman" w:hAnsi="Times New Roman"/>
          <w:i/>
          <w:color w:val="000000"/>
          <w:sz w:val="24"/>
        </w:rPr>
        <w:t>CRR</w:t>
      </w:r>
      <w:r>
        <w:rPr>
          <w:rFonts w:ascii="Times New Roman" w:hAnsi="Times New Roman"/>
          <w:color w:val="000000"/>
          <w:sz w:val="24"/>
        </w:rPr>
        <w:t>”)</w:t>
      </w:r>
      <w:r>
        <w:rPr>
          <w:rFonts w:ascii="Times New Roman" w:hAnsi="Times New Roman"/>
          <w:sz w:val="24"/>
        </w:rPr>
        <w:t xml:space="preserve"> 437. panta a), d), e) un f) punktā minēto informāciju, ievērojot šajā pielikumā sniegtos norādījumus, lai aizpildītu EBI IT risinājumu VII pielikumā ietverto veidni EU CC1.</w:t>
      </w:r>
    </w:p>
    <w:p w14:paraId="33ADC7E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Veidnes EU CC1 nolūkos regulatīvās korekcijas ietver atskaitījumus no pašu kapitāla un </w:t>
      </w:r>
      <w:proofErr w:type="spellStart"/>
      <w:r>
        <w:rPr>
          <w:rFonts w:ascii="Times New Roman" w:hAnsi="Times New Roman"/>
          <w:sz w:val="24"/>
        </w:rPr>
        <w:t>prudenciālos</w:t>
      </w:r>
      <w:proofErr w:type="spellEnd"/>
      <w:r>
        <w:rPr>
          <w:rFonts w:ascii="Times New Roman" w:hAnsi="Times New Roman"/>
          <w:sz w:val="24"/>
        </w:rPr>
        <w:t xml:space="preserve"> filtrus.</w:t>
      </w:r>
    </w:p>
    <w:p w14:paraId="2CDAAE74"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Iestādēm ir jāaizpilda šīs veidnes b) aile, lai parādītu katra būtiskā ieguldījuma avotu, kas savstarpēji jāsalīdzina ar atbilstošajām rindām veidnē EU CC2.</w:t>
      </w:r>
    </w:p>
    <w:p w14:paraId="5C636132" w14:textId="77777777" w:rsidR="00C85971" w:rsidRPr="007F4CC8" w:rsidRDefault="00C85971" w:rsidP="00C85971">
      <w:pPr>
        <w:numPr>
          <w:ilvl w:val="0"/>
          <w:numId w:val="2"/>
        </w:numPr>
        <w:spacing w:before="120" w:after="120"/>
        <w:jc w:val="both"/>
        <w:rPr>
          <w:rFonts w:ascii="Times New Roman" w:hAnsi="Times New Roman" w:cs="Times New Roman"/>
          <w:bCs/>
          <w:sz w:val="24"/>
        </w:rPr>
      </w:pPr>
      <w:r>
        <w:rPr>
          <w:rFonts w:ascii="Times New Roman" w:hAnsi="Times New Roman"/>
          <w:sz w:val="24"/>
        </w:rPr>
        <w:t xml:space="preserve">Iestādes iekļauj veidnei pievienotajā izklāsta daļā aprakstu par visiem ierobežojumiem, ko piemēro pašu kapitāla aprēķināšanai saskaņā ar </w:t>
      </w:r>
      <w:r>
        <w:rPr>
          <w:rFonts w:ascii="Times New Roman" w:hAnsi="Times New Roman"/>
          <w:i/>
          <w:sz w:val="24"/>
        </w:rPr>
        <w:t>CRR</w:t>
      </w:r>
      <w:r>
        <w:rPr>
          <w:rFonts w:ascii="Times New Roman" w:hAnsi="Times New Roman"/>
          <w:sz w:val="24"/>
        </w:rPr>
        <w:t xml:space="preserve">, un instrumentiem, </w:t>
      </w:r>
      <w:proofErr w:type="spellStart"/>
      <w:r>
        <w:rPr>
          <w:rFonts w:ascii="Times New Roman" w:hAnsi="Times New Roman"/>
          <w:sz w:val="24"/>
        </w:rPr>
        <w:t>prudenciālajiem</w:t>
      </w:r>
      <w:proofErr w:type="spellEnd"/>
      <w:r>
        <w:rPr>
          <w:rFonts w:ascii="Times New Roman" w:hAnsi="Times New Roman"/>
          <w:sz w:val="24"/>
        </w:rPr>
        <w:t xml:space="preserve"> filtriem un atskaitījumiem, kuriem šos ierobežojumus piemēro. Tās iekļauj arī vispusīgu skaidrojumu par kapitāla rādītāju aprēķināšanas pamatu, ja minētie kapitāla rādītāji ir aprēķināti, izmantojot pašu kapitāla elementus, kas noteikti citādāk, nekā noteikts </w:t>
      </w:r>
      <w:r>
        <w:rPr>
          <w:rFonts w:ascii="Times New Roman" w:hAnsi="Times New Roman"/>
          <w:i/>
          <w:sz w:val="24"/>
        </w:rPr>
        <w:t>CRR</w:t>
      </w:r>
      <w:r>
        <w:rPr>
          <w:rFonts w:ascii="Times New Roman" w:hAnsi="Times New Roman"/>
          <w:sz w:val="24"/>
        </w:rPr>
        <w:t>.</w:t>
      </w:r>
    </w:p>
    <w:p w14:paraId="6B9498D2" w14:textId="77777777" w:rsidR="00C85971" w:rsidRPr="007F4CC8" w:rsidRDefault="00C85971" w:rsidP="00C85971">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85971" w:rsidRPr="007F4CC8" w14:paraId="28456029" w14:textId="77777777" w:rsidTr="00D819DE">
        <w:trPr>
          <w:trHeight w:val="395"/>
        </w:trPr>
        <w:tc>
          <w:tcPr>
            <w:tcW w:w="8414" w:type="dxa"/>
            <w:gridSpan w:val="2"/>
            <w:shd w:val="clear" w:color="auto" w:fill="D9D9D9" w:themeFill="background1" w:themeFillShade="D9"/>
          </w:tcPr>
          <w:p w14:paraId="3EB7B271" w14:textId="77777777" w:rsidR="00C85971" w:rsidRPr="007F4CC8" w:rsidRDefault="00C85971" w:rsidP="00D819DE">
            <w:pPr>
              <w:pStyle w:val="TableTitle"/>
              <w:spacing w:before="0" w:after="0"/>
              <w:jc w:val="left"/>
              <w:rPr>
                <w:rFonts w:ascii="Times New Roman" w:hAnsi="Times New Roman"/>
                <w:noProof w:val="0"/>
                <w:sz w:val="24"/>
                <w:szCs w:val="24"/>
              </w:rPr>
            </w:pPr>
            <w:r>
              <w:rPr>
                <w:rFonts w:ascii="Times New Roman" w:hAnsi="Times New Roman"/>
                <w:sz w:val="24"/>
              </w:rPr>
              <w:t>Atsauces uz tiesību aktiem un norādījumi</w:t>
            </w:r>
          </w:p>
        </w:tc>
      </w:tr>
      <w:tr w:rsidR="00C85971" w:rsidRPr="007F4CC8" w14:paraId="0AB0475E" w14:textId="77777777" w:rsidTr="00D819DE">
        <w:tc>
          <w:tcPr>
            <w:tcW w:w="1172" w:type="dxa"/>
            <w:shd w:val="clear" w:color="auto" w:fill="D9D9D9" w:themeFill="background1" w:themeFillShade="D9"/>
          </w:tcPr>
          <w:p w14:paraId="0886C6D6" w14:textId="77777777" w:rsidR="00C85971" w:rsidRPr="007F4CC8" w:rsidRDefault="00C85971" w:rsidP="00D819DE">
            <w:pPr>
              <w:rPr>
                <w:rFonts w:ascii="Times New Roman" w:hAnsi="Times New Roman" w:cs="Times New Roman"/>
                <w:b/>
                <w:sz w:val="24"/>
              </w:rPr>
            </w:pPr>
            <w:r>
              <w:rPr>
                <w:rFonts w:ascii="Times New Roman" w:hAnsi="Times New Roman"/>
                <w:b/>
                <w:sz w:val="24"/>
              </w:rPr>
              <w:t>Rindas numurs</w:t>
            </w:r>
          </w:p>
        </w:tc>
        <w:tc>
          <w:tcPr>
            <w:tcW w:w="7242" w:type="dxa"/>
            <w:shd w:val="clear" w:color="auto" w:fill="D9D9D9" w:themeFill="background1" w:themeFillShade="D9"/>
          </w:tcPr>
          <w:p w14:paraId="3586AD3A" w14:textId="77777777" w:rsidR="00C85971" w:rsidRPr="007F4CC8" w:rsidRDefault="00C85971" w:rsidP="00D819DE">
            <w:pPr>
              <w:rPr>
                <w:rFonts w:ascii="Times New Roman" w:hAnsi="Times New Roman" w:cs="Times New Roman"/>
                <w:b/>
                <w:sz w:val="24"/>
              </w:rPr>
            </w:pPr>
            <w:r>
              <w:rPr>
                <w:rFonts w:ascii="Times New Roman" w:hAnsi="Times New Roman"/>
                <w:b/>
                <w:sz w:val="24"/>
              </w:rPr>
              <w:t>Paskaidrojums</w:t>
            </w:r>
          </w:p>
        </w:tc>
      </w:tr>
      <w:tr w:rsidR="00C85971" w:rsidRPr="007F4CC8" w14:paraId="3EC81769" w14:textId="77777777" w:rsidTr="00D819DE">
        <w:tc>
          <w:tcPr>
            <w:tcW w:w="1172" w:type="dxa"/>
            <w:vAlign w:val="center"/>
          </w:tcPr>
          <w:p w14:paraId="27AE849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w:t>
            </w:r>
          </w:p>
        </w:tc>
        <w:tc>
          <w:tcPr>
            <w:tcW w:w="7242" w:type="dxa"/>
          </w:tcPr>
          <w:p w14:paraId="6D216B7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Kapitāla instrumenti un ar tiem saistītie akciju emisijas uzcenojuma konti</w:t>
            </w:r>
          </w:p>
          <w:p w14:paraId="3624D9E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Kapitāla instrumenti un ar tiem saistītie akciju emisijas uzcenojuma konti saskaņā ar </w:t>
            </w:r>
            <w:r>
              <w:rPr>
                <w:rFonts w:ascii="Times New Roman" w:hAnsi="Times New Roman"/>
                <w:i/>
                <w:sz w:val="24"/>
              </w:rPr>
              <w:t>CRR</w:t>
            </w:r>
            <w:r>
              <w:rPr>
                <w:rFonts w:ascii="Times New Roman" w:hAnsi="Times New Roman"/>
                <w:sz w:val="24"/>
              </w:rPr>
              <w:t xml:space="preserve"> 26. panta 1. punkta a) un b) apakšpunktu un 27., 28., 29. pantu, kā arī EBI sarakstu, kas minēts</w:t>
            </w:r>
            <w:r>
              <w:rPr>
                <w:rFonts w:ascii="Times New Roman" w:hAnsi="Times New Roman"/>
                <w:i/>
                <w:sz w:val="24"/>
              </w:rPr>
              <w:t xml:space="preserve"> CRR</w:t>
            </w:r>
            <w:r>
              <w:rPr>
                <w:rFonts w:ascii="Times New Roman" w:hAnsi="Times New Roman"/>
                <w:sz w:val="24"/>
              </w:rPr>
              <w:t xml:space="preserve"> 26. panta 3. punktā, un to sadalījums pēc instrumenta veida.</w:t>
            </w:r>
          </w:p>
        </w:tc>
      </w:tr>
      <w:tr w:rsidR="00C85971" w:rsidRPr="007F4CC8" w14:paraId="32A6085B" w14:textId="77777777" w:rsidTr="00D819DE">
        <w:tc>
          <w:tcPr>
            <w:tcW w:w="1172" w:type="dxa"/>
            <w:vAlign w:val="center"/>
          </w:tcPr>
          <w:p w14:paraId="1D36DC3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w:t>
            </w:r>
          </w:p>
        </w:tc>
        <w:tc>
          <w:tcPr>
            <w:tcW w:w="7242" w:type="dxa"/>
            <w:vAlign w:val="center"/>
          </w:tcPr>
          <w:p w14:paraId="5CAB890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Nesadalītā peļņa</w:t>
            </w:r>
          </w:p>
          <w:p w14:paraId="3BB53B0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Nesadalītā peļņa pirms visām regulatīvajām korekcijām saskaņā </w:t>
            </w:r>
            <w:r>
              <w:rPr>
                <w:rFonts w:ascii="Times New Roman" w:hAnsi="Times New Roman"/>
                <w:i/>
                <w:sz w:val="24"/>
              </w:rPr>
              <w:t>CRR</w:t>
            </w:r>
            <w:r>
              <w:rPr>
                <w:rFonts w:ascii="Times New Roman" w:hAnsi="Times New Roman"/>
                <w:sz w:val="24"/>
              </w:rPr>
              <w:t xml:space="preserve"> 26. panta 1. punkta c) apakšpunktu (pirms starpposma tīrās peļņas vai zaudējumu iekļaušanas)</w:t>
            </w:r>
          </w:p>
        </w:tc>
      </w:tr>
      <w:tr w:rsidR="00C85971" w:rsidRPr="007F4CC8" w14:paraId="55D99A61" w14:textId="77777777" w:rsidTr="00D819DE">
        <w:trPr>
          <w:trHeight w:val="980"/>
        </w:trPr>
        <w:tc>
          <w:tcPr>
            <w:tcW w:w="1172" w:type="dxa"/>
            <w:vAlign w:val="center"/>
          </w:tcPr>
          <w:p w14:paraId="269B673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w:t>
            </w:r>
          </w:p>
        </w:tc>
        <w:tc>
          <w:tcPr>
            <w:tcW w:w="7242" w:type="dxa"/>
            <w:vAlign w:val="center"/>
          </w:tcPr>
          <w:p w14:paraId="32D3B93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Uzkrātie citi visaptverošie ienākumi (un citas rezerves)</w:t>
            </w:r>
          </w:p>
          <w:p w14:paraId="7F75661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Uzkrāto citu visaptverošo ienākumu un citu rezervju summa saskaņā ar </w:t>
            </w:r>
            <w:r>
              <w:rPr>
                <w:rFonts w:ascii="Times New Roman" w:hAnsi="Times New Roman"/>
                <w:i/>
                <w:sz w:val="24"/>
              </w:rPr>
              <w:t>CRR</w:t>
            </w:r>
            <w:r>
              <w:rPr>
                <w:rFonts w:ascii="Times New Roman" w:hAnsi="Times New Roman"/>
                <w:sz w:val="24"/>
              </w:rPr>
              <w:t xml:space="preserve"> 26. panta 1. punkta d) un e) apakšpunktu</w:t>
            </w:r>
          </w:p>
        </w:tc>
      </w:tr>
      <w:tr w:rsidR="00C85971" w:rsidRPr="007F4CC8" w14:paraId="5C04AF2A" w14:textId="77777777" w:rsidTr="00D819DE">
        <w:tc>
          <w:tcPr>
            <w:tcW w:w="1172" w:type="dxa"/>
            <w:vAlign w:val="center"/>
          </w:tcPr>
          <w:p w14:paraId="18044CF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EU-3.a</w:t>
            </w:r>
          </w:p>
        </w:tc>
        <w:tc>
          <w:tcPr>
            <w:tcW w:w="7242" w:type="dxa"/>
            <w:vAlign w:val="center"/>
          </w:tcPr>
          <w:p w14:paraId="780A3FE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Rezerves vispārējiem banku riskiem</w:t>
            </w:r>
          </w:p>
          <w:p w14:paraId="3C42716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Rezervju vispārējiem banku riskiem summa saskaņā ar </w:t>
            </w:r>
            <w:r>
              <w:rPr>
                <w:rFonts w:ascii="Times New Roman" w:hAnsi="Times New Roman"/>
                <w:i/>
                <w:sz w:val="24"/>
              </w:rPr>
              <w:t>CRR</w:t>
            </w:r>
            <w:r>
              <w:rPr>
                <w:rFonts w:ascii="Times New Roman" w:hAnsi="Times New Roman"/>
                <w:sz w:val="24"/>
              </w:rPr>
              <w:t xml:space="preserve"> 26. panta 1. punkta f) apakšpunktu</w:t>
            </w:r>
          </w:p>
        </w:tc>
      </w:tr>
      <w:tr w:rsidR="00C85971" w:rsidRPr="007F4CC8" w14:paraId="429037B8" w14:textId="77777777" w:rsidTr="00D819DE">
        <w:tc>
          <w:tcPr>
            <w:tcW w:w="1172" w:type="dxa"/>
            <w:vAlign w:val="center"/>
          </w:tcPr>
          <w:p w14:paraId="3AC0D40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w:t>
            </w:r>
          </w:p>
        </w:tc>
        <w:tc>
          <w:tcPr>
            <w:tcW w:w="7242" w:type="dxa"/>
            <w:vAlign w:val="center"/>
          </w:tcPr>
          <w:p w14:paraId="1293988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484. panta 3. punktā minēto atbilstīgo posteņu summa un ar tiem saistītie akciju emisijas uzcenojuma konti, uz kuriem attiecas pakāpeniska izslēgšana no pirmā līmeņa pamata kapitāla</w:t>
            </w:r>
          </w:p>
          <w:p w14:paraId="434ED6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484. panta 3. punktā minēto atbilstīgo posteņu summa un ar tiem saistītie akciju emisijas uzcenojuma konti, uz kuriem attiecas pakāpeniska izslēgšana no pirmā līmeņa pamata kapitāla, kā aprakstīts </w:t>
            </w:r>
            <w:r>
              <w:rPr>
                <w:rFonts w:ascii="Times New Roman" w:hAnsi="Times New Roman"/>
                <w:i/>
                <w:sz w:val="24"/>
              </w:rPr>
              <w:t>CRR</w:t>
            </w:r>
            <w:r>
              <w:rPr>
                <w:rFonts w:ascii="Times New Roman" w:hAnsi="Times New Roman"/>
                <w:sz w:val="24"/>
              </w:rPr>
              <w:t xml:space="preserve"> 486. panta 2. punktā</w:t>
            </w:r>
          </w:p>
        </w:tc>
      </w:tr>
      <w:tr w:rsidR="00C85971" w:rsidRPr="007F4CC8" w14:paraId="0FE5F2C7" w14:textId="77777777" w:rsidTr="00D819DE">
        <w:tc>
          <w:tcPr>
            <w:tcW w:w="1172" w:type="dxa"/>
            <w:vAlign w:val="center"/>
          </w:tcPr>
          <w:p w14:paraId="31B676B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w:t>
            </w:r>
          </w:p>
        </w:tc>
        <w:tc>
          <w:tcPr>
            <w:tcW w:w="7242" w:type="dxa"/>
            <w:vAlign w:val="center"/>
          </w:tcPr>
          <w:p w14:paraId="3FF63C4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Mazākuma līdzdalības daļas (summa, kas atļauta konsolidētajā pirmā līmeņa pamata kapitālā)</w:t>
            </w:r>
          </w:p>
          <w:p w14:paraId="64724C4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Mazākuma līdzdalības daļas (summa, kas atļauta konsolidētajā pirmā līmeņa pamata kapitālā) atbilstoši </w:t>
            </w:r>
            <w:r>
              <w:rPr>
                <w:rFonts w:ascii="Times New Roman" w:hAnsi="Times New Roman"/>
                <w:i/>
                <w:sz w:val="24"/>
              </w:rPr>
              <w:t>CRR</w:t>
            </w:r>
            <w:r>
              <w:rPr>
                <w:rFonts w:ascii="Times New Roman" w:hAnsi="Times New Roman"/>
                <w:sz w:val="24"/>
              </w:rPr>
              <w:t xml:space="preserve"> 84. pantam</w:t>
            </w:r>
          </w:p>
        </w:tc>
      </w:tr>
      <w:tr w:rsidR="00C85971" w:rsidRPr="007F4CC8" w14:paraId="05B4754F" w14:textId="77777777" w:rsidTr="00D819DE">
        <w:tc>
          <w:tcPr>
            <w:tcW w:w="1172" w:type="dxa"/>
            <w:vAlign w:val="center"/>
          </w:tcPr>
          <w:p w14:paraId="039F76B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EU-5.a</w:t>
            </w:r>
          </w:p>
        </w:tc>
        <w:tc>
          <w:tcPr>
            <w:tcW w:w="7242" w:type="dxa"/>
            <w:vAlign w:val="center"/>
          </w:tcPr>
          <w:p w14:paraId="179AFE3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Neatkarīgi pārbaudīta starpposma peļņa, atskaitot jebkādas paredzamas maksas vai dividendes</w:t>
            </w:r>
          </w:p>
          <w:p w14:paraId="301737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Neatkarīgi pārbaudīta starpposma peļņa, atskaitot jebkādas paredzamas maksas vai dividendes saskaņā ar </w:t>
            </w:r>
            <w:r>
              <w:rPr>
                <w:rFonts w:ascii="Times New Roman" w:hAnsi="Times New Roman"/>
                <w:i/>
                <w:sz w:val="24"/>
              </w:rPr>
              <w:t>CRR</w:t>
            </w:r>
            <w:r>
              <w:rPr>
                <w:rFonts w:ascii="Times New Roman" w:hAnsi="Times New Roman"/>
                <w:sz w:val="24"/>
              </w:rPr>
              <w:t xml:space="preserve"> 26. panta 2. punktu</w:t>
            </w:r>
          </w:p>
        </w:tc>
      </w:tr>
      <w:tr w:rsidR="00C85971" w:rsidRPr="007F4CC8" w14:paraId="0DB6D54A" w14:textId="77777777" w:rsidTr="00D819DE">
        <w:tc>
          <w:tcPr>
            <w:tcW w:w="1172" w:type="dxa"/>
            <w:vAlign w:val="center"/>
          </w:tcPr>
          <w:p w14:paraId="77050ED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w:t>
            </w:r>
          </w:p>
        </w:tc>
        <w:tc>
          <w:tcPr>
            <w:tcW w:w="7242" w:type="dxa"/>
            <w:vAlign w:val="center"/>
          </w:tcPr>
          <w:p w14:paraId="181768A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Pirmā līmeņa pamata kapitāls (</w:t>
            </w:r>
            <w:r>
              <w:rPr>
                <w:rFonts w:ascii="Times New Roman" w:hAnsi="Times New Roman"/>
                <w:i/>
                <w:sz w:val="24"/>
              </w:rPr>
              <w:t>CET1</w:t>
            </w:r>
            <w:r>
              <w:rPr>
                <w:rFonts w:ascii="Times New Roman" w:hAnsi="Times New Roman"/>
                <w:sz w:val="24"/>
              </w:rPr>
              <w:t>) pirms regulatīvajām korekcijām</w:t>
            </w:r>
          </w:p>
          <w:p w14:paraId="5517D0E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Šīs veidnes 1. līdz EU-5.a rindā norādīto vērtību summa</w:t>
            </w:r>
          </w:p>
        </w:tc>
      </w:tr>
      <w:tr w:rsidR="00C85971" w:rsidRPr="007F4CC8" w14:paraId="1DB3573D" w14:textId="77777777" w:rsidTr="00D819DE">
        <w:tc>
          <w:tcPr>
            <w:tcW w:w="1172" w:type="dxa"/>
            <w:vAlign w:val="center"/>
          </w:tcPr>
          <w:p w14:paraId="3A212C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w:t>
            </w:r>
          </w:p>
        </w:tc>
        <w:tc>
          <w:tcPr>
            <w:tcW w:w="7242" w:type="dxa"/>
            <w:vAlign w:val="center"/>
          </w:tcPr>
          <w:p w14:paraId="25B178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Papildu vērtības korekcijas (negatīva summa)</w:t>
            </w:r>
          </w:p>
          <w:p w14:paraId="24604E9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Papildu vērtības korekcijas saskaņā ar </w:t>
            </w:r>
            <w:r>
              <w:rPr>
                <w:rFonts w:ascii="Times New Roman" w:hAnsi="Times New Roman"/>
                <w:i/>
                <w:sz w:val="24"/>
              </w:rPr>
              <w:t>CRR</w:t>
            </w:r>
            <w:r>
              <w:rPr>
                <w:rFonts w:ascii="Times New Roman" w:hAnsi="Times New Roman"/>
                <w:sz w:val="24"/>
              </w:rPr>
              <w:t xml:space="preserve"> 34. un 105. pantu (negatīva summa)</w:t>
            </w:r>
          </w:p>
        </w:tc>
      </w:tr>
      <w:tr w:rsidR="00C85971" w:rsidRPr="007F4CC8" w14:paraId="5FE594E0" w14:textId="77777777" w:rsidTr="00D819DE">
        <w:tc>
          <w:tcPr>
            <w:tcW w:w="1172" w:type="dxa"/>
            <w:vAlign w:val="center"/>
          </w:tcPr>
          <w:p w14:paraId="04267FF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w:t>
            </w:r>
          </w:p>
        </w:tc>
        <w:tc>
          <w:tcPr>
            <w:tcW w:w="7242" w:type="dxa"/>
            <w:vAlign w:val="center"/>
          </w:tcPr>
          <w:p w14:paraId="540851D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Nemateriālie aktīvi (atskaitot attiecīgo nodokļu saistības) (negatīva summa)</w:t>
            </w:r>
          </w:p>
          <w:p w14:paraId="5E39866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Nemateriālie aktīvi (atskaitot attiecīgo nodokļu saistības) saskaņā ar </w:t>
            </w:r>
            <w:r>
              <w:rPr>
                <w:rFonts w:ascii="Times New Roman" w:hAnsi="Times New Roman"/>
                <w:i/>
                <w:sz w:val="24"/>
              </w:rPr>
              <w:t>CRR</w:t>
            </w:r>
            <w:r>
              <w:rPr>
                <w:rFonts w:ascii="Times New Roman" w:hAnsi="Times New Roman"/>
                <w:sz w:val="24"/>
              </w:rPr>
              <w:t xml:space="preserve"> 36. panta 1. punkta b) apakšpunktu un 37. pantu (negatīva summa)</w:t>
            </w:r>
          </w:p>
        </w:tc>
      </w:tr>
      <w:tr w:rsidR="00C85971" w:rsidRPr="007F4CC8" w14:paraId="57D545A8" w14:textId="77777777" w:rsidTr="00D819DE">
        <w:tc>
          <w:tcPr>
            <w:tcW w:w="1172" w:type="dxa"/>
            <w:vAlign w:val="center"/>
          </w:tcPr>
          <w:p w14:paraId="058D3A7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 xml:space="preserve">9. </w:t>
            </w:r>
          </w:p>
        </w:tc>
        <w:tc>
          <w:tcPr>
            <w:tcW w:w="7242" w:type="dxa"/>
            <w:vAlign w:val="center"/>
          </w:tcPr>
          <w:p w14:paraId="16084F4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Neattiecas</w:t>
            </w:r>
          </w:p>
        </w:tc>
      </w:tr>
      <w:tr w:rsidR="00C85971" w:rsidRPr="007F4CC8" w14:paraId="66B4EBC9" w14:textId="77777777" w:rsidTr="00D819DE">
        <w:tc>
          <w:tcPr>
            <w:tcW w:w="1172" w:type="dxa"/>
            <w:vAlign w:val="center"/>
          </w:tcPr>
          <w:p w14:paraId="2BDE1E1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10.</w:t>
            </w:r>
          </w:p>
        </w:tc>
        <w:tc>
          <w:tcPr>
            <w:tcW w:w="7242" w:type="dxa"/>
            <w:vAlign w:val="center"/>
          </w:tcPr>
          <w:p w14:paraId="03352CF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Atliktā nodokļa aktīvi, kuru realizācija ir atkarīga no peļņas gūšanas nākotnē, izņemot tos, kuri izriet no laika noviržu izraisītas pagaidu starpības (atskaitot attiecīgās nodokļu saistības, ja ir izpildīti </w:t>
            </w:r>
            <w:r>
              <w:rPr>
                <w:rFonts w:ascii="Times New Roman" w:hAnsi="Times New Roman"/>
                <w:i/>
                <w:sz w:val="24"/>
              </w:rPr>
              <w:t>CRR</w:t>
            </w:r>
            <w:r>
              <w:rPr>
                <w:rFonts w:ascii="Times New Roman" w:hAnsi="Times New Roman"/>
                <w:sz w:val="24"/>
              </w:rPr>
              <w:t xml:space="preserve"> 38. panta 3. punkta nosacījumi) (negatīva summa)</w:t>
            </w:r>
          </w:p>
          <w:p w14:paraId="2A0A42E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Atliktā nodokļa aktīvi, kuru realizācija ir atkarīga no peļņas gūšanas nākotnē, izņemot tos, kuri izriet no laika noviržu izraisītas pagaidu starpības (atskaitot attiecīgās nodokļu saistības, ja ir izpildīti </w:t>
            </w:r>
            <w:r>
              <w:rPr>
                <w:rFonts w:ascii="Times New Roman" w:hAnsi="Times New Roman"/>
                <w:i/>
                <w:sz w:val="24"/>
              </w:rPr>
              <w:t>CRR</w:t>
            </w:r>
            <w:r>
              <w:rPr>
                <w:rFonts w:ascii="Times New Roman" w:hAnsi="Times New Roman"/>
                <w:sz w:val="24"/>
              </w:rPr>
              <w:t xml:space="preserve"> </w:t>
            </w:r>
            <w:r>
              <w:rPr>
                <w:rFonts w:ascii="Times New Roman" w:hAnsi="Times New Roman"/>
                <w:sz w:val="24"/>
              </w:rPr>
              <w:lastRenderedPageBreak/>
              <w:t xml:space="preserve">38. panta 3. punkta nosacījumi) saskaņā ar </w:t>
            </w:r>
            <w:r>
              <w:rPr>
                <w:rFonts w:ascii="Times New Roman" w:hAnsi="Times New Roman"/>
                <w:i/>
                <w:sz w:val="24"/>
              </w:rPr>
              <w:t>CRR</w:t>
            </w:r>
            <w:r>
              <w:rPr>
                <w:rFonts w:ascii="Times New Roman" w:hAnsi="Times New Roman"/>
                <w:sz w:val="24"/>
              </w:rPr>
              <w:t xml:space="preserve"> 36. panta 1. punkta c) apakšpunktu un 38. pantu (negatīva summa)</w:t>
            </w:r>
          </w:p>
        </w:tc>
      </w:tr>
      <w:tr w:rsidR="00C85971" w:rsidRPr="007F4CC8" w14:paraId="6D9F3290" w14:textId="77777777" w:rsidTr="00D819DE">
        <w:tc>
          <w:tcPr>
            <w:tcW w:w="1172" w:type="dxa"/>
            <w:vAlign w:val="center"/>
          </w:tcPr>
          <w:p w14:paraId="45C66F6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11.</w:t>
            </w:r>
          </w:p>
        </w:tc>
        <w:tc>
          <w:tcPr>
            <w:tcW w:w="7242" w:type="dxa"/>
            <w:vAlign w:val="center"/>
          </w:tcPr>
          <w:p w14:paraId="68ABFBF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Patiesās vērtības rezerves, kas saistītas ar peļņu vai zaudējumiem no naudas plūsmas riska ierobežošanas pozīcijām tādiem finanšu instrumentiem, kuri nav novērtēti pēc to patiesās vērtības</w:t>
            </w:r>
          </w:p>
          <w:p w14:paraId="28EED64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Patiesās vērtības rezerves, kas saistītas ar peļņu vai zaudējumiem no naudas plūsmas riska ierobežošanas pozīcijām tādiem finanšu instrumentiem, kuri nav novērtēti pēc to patiesās vērtības saskaņā ar </w:t>
            </w:r>
            <w:r>
              <w:rPr>
                <w:rFonts w:ascii="Times New Roman" w:hAnsi="Times New Roman"/>
                <w:i/>
                <w:sz w:val="24"/>
              </w:rPr>
              <w:t>CRR</w:t>
            </w:r>
            <w:r>
              <w:rPr>
                <w:rFonts w:ascii="Times New Roman" w:hAnsi="Times New Roman"/>
                <w:sz w:val="24"/>
              </w:rPr>
              <w:t xml:space="preserve"> 33. panta 1. punkta a) apakšpunktu</w:t>
            </w:r>
          </w:p>
        </w:tc>
      </w:tr>
      <w:tr w:rsidR="00C85971" w:rsidRPr="007F4CC8" w14:paraId="71D2CA32" w14:textId="77777777" w:rsidTr="00D819DE">
        <w:tc>
          <w:tcPr>
            <w:tcW w:w="1172" w:type="dxa"/>
            <w:vAlign w:val="center"/>
          </w:tcPr>
          <w:p w14:paraId="0F63B72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12.</w:t>
            </w:r>
          </w:p>
        </w:tc>
        <w:tc>
          <w:tcPr>
            <w:tcW w:w="7242" w:type="dxa"/>
            <w:vAlign w:val="center"/>
          </w:tcPr>
          <w:p w14:paraId="7F76EC5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Negatīvās summas, kas izriet no paredzamo zaudējumu summu aprēķina</w:t>
            </w:r>
          </w:p>
          <w:p w14:paraId="1056ED1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Negatīvās summas, kas izriet no paredzamo zaudējumu summu aprēķina saskaņā ar </w:t>
            </w:r>
            <w:r>
              <w:rPr>
                <w:rFonts w:ascii="Times New Roman" w:hAnsi="Times New Roman"/>
                <w:i/>
                <w:sz w:val="24"/>
              </w:rPr>
              <w:t>CRR</w:t>
            </w:r>
            <w:r>
              <w:rPr>
                <w:rFonts w:ascii="Times New Roman" w:hAnsi="Times New Roman"/>
                <w:sz w:val="24"/>
              </w:rPr>
              <w:t xml:space="preserve"> 36. panta 1. punkta d) apakšpunktu un 40. pantu</w:t>
            </w:r>
          </w:p>
        </w:tc>
      </w:tr>
      <w:tr w:rsidR="00C85971" w:rsidRPr="007F4CC8" w14:paraId="668AEBB4" w14:textId="77777777" w:rsidTr="00D819DE">
        <w:tc>
          <w:tcPr>
            <w:tcW w:w="1172" w:type="dxa"/>
            <w:vAlign w:val="center"/>
          </w:tcPr>
          <w:p w14:paraId="3EA3D28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13.</w:t>
            </w:r>
          </w:p>
        </w:tc>
        <w:tc>
          <w:tcPr>
            <w:tcW w:w="7242" w:type="dxa"/>
            <w:vAlign w:val="center"/>
          </w:tcPr>
          <w:p w14:paraId="2DCF7FE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Jebkāds kapitāla palielinājums, kas izriet no </w:t>
            </w:r>
            <w:proofErr w:type="spellStart"/>
            <w:r>
              <w:rPr>
                <w:rFonts w:ascii="Times New Roman" w:hAnsi="Times New Roman"/>
                <w:sz w:val="24"/>
              </w:rPr>
              <w:t>vērtspapīrotiem</w:t>
            </w:r>
            <w:proofErr w:type="spellEnd"/>
            <w:r>
              <w:rPr>
                <w:rFonts w:ascii="Times New Roman" w:hAnsi="Times New Roman"/>
                <w:sz w:val="24"/>
              </w:rPr>
              <w:t xml:space="preserve"> aktīviem (negatīva summa)</w:t>
            </w:r>
          </w:p>
          <w:p w14:paraId="0C6A56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Jebkāds kapitāla palielinājums, kas izriet no </w:t>
            </w:r>
            <w:proofErr w:type="spellStart"/>
            <w:r>
              <w:rPr>
                <w:rFonts w:ascii="Times New Roman" w:hAnsi="Times New Roman"/>
                <w:sz w:val="24"/>
              </w:rPr>
              <w:t>vērtspapīrotiem</w:t>
            </w:r>
            <w:proofErr w:type="spellEnd"/>
            <w:r>
              <w:rPr>
                <w:rFonts w:ascii="Times New Roman" w:hAnsi="Times New Roman"/>
                <w:sz w:val="24"/>
              </w:rPr>
              <w:t xml:space="preserve"> aktīviem saskaņā ar </w:t>
            </w:r>
            <w:r>
              <w:rPr>
                <w:rFonts w:ascii="Times New Roman" w:hAnsi="Times New Roman"/>
                <w:i/>
                <w:sz w:val="24"/>
              </w:rPr>
              <w:t>CRR</w:t>
            </w:r>
            <w:r>
              <w:rPr>
                <w:rFonts w:ascii="Times New Roman" w:hAnsi="Times New Roman"/>
                <w:sz w:val="24"/>
              </w:rPr>
              <w:t xml:space="preserve"> 32. panta 1. punktu (negatīva summa)</w:t>
            </w:r>
          </w:p>
        </w:tc>
      </w:tr>
      <w:tr w:rsidR="00C85971" w:rsidRPr="007F4CC8" w14:paraId="04770087" w14:textId="77777777" w:rsidTr="00D819DE">
        <w:tc>
          <w:tcPr>
            <w:tcW w:w="1172" w:type="dxa"/>
            <w:vAlign w:val="center"/>
          </w:tcPr>
          <w:p w14:paraId="7A814A9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14.</w:t>
            </w:r>
          </w:p>
        </w:tc>
        <w:tc>
          <w:tcPr>
            <w:tcW w:w="7242" w:type="dxa"/>
            <w:vAlign w:val="center"/>
          </w:tcPr>
          <w:p w14:paraId="4D17091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Peļņa vai zaudējumi no pēc patiesās vērtības novērtētām saistībām, kuri rodas no izmaiņām pašas iestādes </w:t>
            </w:r>
            <w:proofErr w:type="spellStart"/>
            <w:r>
              <w:rPr>
                <w:rFonts w:ascii="Times New Roman" w:hAnsi="Times New Roman"/>
                <w:sz w:val="24"/>
              </w:rPr>
              <w:t>kredītstāvoklī</w:t>
            </w:r>
            <w:proofErr w:type="spellEnd"/>
          </w:p>
          <w:p w14:paraId="07C3FAB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Peļņa vai zaudējumi no pēc patiesās vērtības novērtētām saistībām, kuri rodas no izmaiņām pašas iestādes </w:t>
            </w:r>
            <w:proofErr w:type="spellStart"/>
            <w:r>
              <w:rPr>
                <w:rFonts w:ascii="Times New Roman" w:hAnsi="Times New Roman"/>
                <w:sz w:val="24"/>
              </w:rPr>
              <w:t>kredītstāvoklī</w:t>
            </w:r>
            <w:proofErr w:type="spellEnd"/>
            <w:r>
              <w:rPr>
                <w:rFonts w:ascii="Times New Roman" w:hAnsi="Times New Roman"/>
                <w:sz w:val="24"/>
              </w:rPr>
              <w:t xml:space="preserve"> saskaņā ar </w:t>
            </w:r>
            <w:r>
              <w:rPr>
                <w:rFonts w:ascii="Times New Roman" w:hAnsi="Times New Roman"/>
                <w:i/>
                <w:sz w:val="24"/>
              </w:rPr>
              <w:t>CRR</w:t>
            </w:r>
            <w:r>
              <w:rPr>
                <w:rFonts w:ascii="Times New Roman" w:hAnsi="Times New Roman"/>
                <w:sz w:val="24"/>
              </w:rPr>
              <w:t xml:space="preserve"> 33. panta 1. punkta b) apakšpunktu</w:t>
            </w:r>
          </w:p>
        </w:tc>
      </w:tr>
      <w:tr w:rsidR="00C85971" w:rsidRPr="007F4CC8" w14:paraId="68D64C29" w14:textId="77777777" w:rsidTr="00D819DE">
        <w:tc>
          <w:tcPr>
            <w:tcW w:w="1172" w:type="dxa"/>
            <w:vAlign w:val="center"/>
          </w:tcPr>
          <w:p w14:paraId="645BE2A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15.</w:t>
            </w:r>
          </w:p>
        </w:tc>
        <w:tc>
          <w:tcPr>
            <w:tcW w:w="7242" w:type="dxa"/>
            <w:vAlign w:val="center"/>
          </w:tcPr>
          <w:p w14:paraId="34140A6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Definētu pabalstu pensiju fondu aktīvi (negatīva summa)</w:t>
            </w:r>
          </w:p>
          <w:p w14:paraId="7FE0A99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Definētu pabalstu pensiju fondu aktīvi saskaņā ar </w:t>
            </w:r>
            <w:r>
              <w:rPr>
                <w:rFonts w:ascii="Times New Roman" w:hAnsi="Times New Roman"/>
                <w:i/>
                <w:sz w:val="24"/>
              </w:rPr>
              <w:t>CRR</w:t>
            </w:r>
            <w:r>
              <w:rPr>
                <w:rFonts w:ascii="Times New Roman" w:hAnsi="Times New Roman"/>
                <w:sz w:val="24"/>
              </w:rPr>
              <w:t xml:space="preserve"> 36. panta 1. punkta e) apakšpunktu un 41. pantu (negatīva summa)</w:t>
            </w:r>
          </w:p>
        </w:tc>
      </w:tr>
      <w:tr w:rsidR="00C85971" w:rsidRPr="007F4CC8" w14:paraId="3681BE55" w14:textId="77777777" w:rsidTr="00D819DE">
        <w:tc>
          <w:tcPr>
            <w:tcW w:w="1172" w:type="dxa"/>
            <w:vAlign w:val="center"/>
          </w:tcPr>
          <w:p w14:paraId="0034A02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16.</w:t>
            </w:r>
          </w:p>
        </w:tc>
        <w:tc>
          <w:tcPr>
            <w:tcW w:w="7242" w:type="dxa"/>
            <w:vAlign w:val="center"/>
          </w:tcPr>
          <w:p w14:paraId="7DEFE6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Iestādes tiešās, netiešās un sintētiskās līdzdalības pašu pirmā līmeņa pamata kapitāla instrumentos (negatīva summa)</w:t>
            </w:r>
          </w:p>
          <w:p w14:paraId="77709E9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Iestādes tiešās, netiešās un sintētiskās līdzdalības pašu pirmā līmeņa pamata kapitāla instrumentos, kā aprakstīts </w:t>
            </w:r>
            <w:r>
              <w:rPr>
                <w:rFonts w:ascii="Times New Roman" w:hAnsi="Times New Roman"/>
                <w:i/>
                <w:sz w:val="24"/>
              </w:rPr>
              <w:t>CRR</w:t>
            </w:r>
            <w:r>
              <w:rPr>
                <w:rFonts w:ascii="Times New Roman" w:hAnsi="Times New Roman"/>
                <w:sz w:val="24"/>
              </w:rPr>
              <w:t xml:space="preserve"> 36. panta 1. punkta f) apakšpunktā un 42. pantā (negatīva summa)</w:t>
            </w:r>
          </w:p>
        </w:tc>
      </w:tr>
      <w:tr w:rsidR="00C85971" w:rsidRPr="007F4CC8" w14:paraId="32F833B6" w14:textId="77777777" w:rsidTr="00D819DE">
        <w:tc>
          <w:tcPr>
            <w:tcW w:w="1172" w:type="dxa"/>
            <w:vAlign w:val="center"/>
          </w:tcPr>
          <w:p w14:paraId="2A6F9FD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17.</w:t>
            </w:r>
          </w:p>
        </w:tc>
        <w:tc>
          <w:tcPr>
            <w:tcW w:w="7242" w:type="dxa"/>
            <w:vAlign w:val="center"/>
          </w:tcPr>
          <w:p w14:paraId="1754CB1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Tiešās, netiešās un sintētiskās līdzdalības tādu finanšu sektora sabiedrību pirmā līmeņa pamata kapitāla instrumentos, kurām ar iestādi ir savstarpējas līdzdalības, kas ir izveidotas, lai mākslīgi palielinātu iestādes pašu kapitālu (negatīva summa)</w:t>
            </w:r>
          </w:p>
          <w:p w14:paraId="2AFFD0C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Tiešās, netiešās un sintētiskās līdzdalības tādu finanšu sektora sabiedrību pirmā līmeņa pamata kapitāla instrumentos, kurām ar iestādi ir savstarpējas līdzdalības, kas ir izveidotas, lai mākslīgi palielinātu iestādes </w:t>
            </w:r>
            <w:r>
              <w:rPr>
                <w:rFonts w:ascii="Times New Roman" w:hAnsi="Times New Roman"/>
                <w:sz w:val="24"/>
              </w:rPr>
              <w:lastRenderedPageBreak/>
              <w:t xml:space="preserve">pašu kapitālu, kā aprakstīts </w:t>
            </w:r>
            <w:r>
              <w:rPr>
                <w:rFonts w:ascii="Times New Roman" w:hAnsi="Times New Roman"/>
                <w:i/>
                <w:sz w:val="24"/>
              </w:rPr>
              <w:t>CRR</w:t>
            </w:r>
            <w:r>
              <w:rPr>
                <w:rFonts w:ascii="Times New Roman" w:hAnsi="Times New Roman"/>
                <w:sz w:val="24"/>
              </w:rPr>
              <w:t xml:space="preserve"> 36. panta 1. punkta g) apakšpunktā un 44. pantā (negatīva summa)</w:t>
            </w:r>
          </w:p>
        </w:tc>
      </w:tr>
      <w:tr w:rsidR="00C85971" w:rsidRPr="007F4CC8" w14:paraId="6B072F45" w14:textId="77777777" w:rsidTr="00D819DE">
        <w:tc>
          <w:tcPr>
            <w:tcW w:w="1172" w:type="dxa"/>
            <w:vAlign w:val="center"/>
          </w:tcPr>
          <w:p w14:paraId="76E49E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18.</w:t>
            </w:r>
          </w:p>
        </w:tc>
        <w:tc>
          <w:tcPr>
            <w:tcW w:w="7242" w:type="dxa"/>
            <w:vAlign w:val="center"/>
          </w:tcPr>
          <w:p w14:paraId="3B9E25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Iestādes tiešās, netiešās un sintētiskās līdzdalības tādu finanšu sektora sabiedrību pirmā līmeņa pamata kapitāla instrumentos, kurās iestādei nav būtiska ieguldījuma (summa pārsniedz 10 % slieksni, un ir atskaitītas atbilstošās īsās pozīcijas) (negatīva summa)</w:t>
            </w:r>
          </w:p>
          <w:p w14:paraId="3D0E5C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Iestādes tiešās, netiešās un sintētiskās līdzdalības tādu finanšu sektora sabiedrību pirmā līmeņa pamata kapitāla instrumentos, kurās iestādei nav būtiska ieguldījuma (summa pārsniedz 10 % slieksni, un ir atskaitītas atbilstošās īsās pozīcijas), kā aprakstīts </w:t>
            </w:r>
            <w:r>
              <w:rPr>
                <w:rFonts w:ascii="Times New Roman" w:hAnsi="Times New Roman"/>
                <w:i/>
                <w:sz w:val="24"/>
              </w:rPr>
              <w:t>CRR</w:t>
            </w:r>
            <w:r>
              <w:rPr>
                <w:rFonts w:ascii="Times New Roman" w:hAnsi="Times New Roman"/>
                <w:sz w:val="24"/>
              </w:rPr>
              <w:t xml:space="preserve"> 36. panta 1. punkta h) apakšpunktā un 43., 45., 46. pantā, 49. panta 2. un 3. punktā un 79. pantā (negatīva summa)</w:t>
            </w:r>
          </w:p>
        </w:tc>
      </w:tr>
      <w:tr w:rsidR="00C85971" w:rsidRPr="007F4CC8" w14:paraId="6302E329" w14:textId="77777777" w:rsidTr="00D819DE">
        <w:tc>
          <w:tcPr>
            <w:tcW w:w="1172" w:type="dxa"/>
            <w:vAlign w:val="center"/>
          </w:tcPr>
          <w:p w14:paraId="0DAD47A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19.</w:t>
            </w:r>
          </w:p>
        </w:tc>
        <w:tc>
          <w:tcPr>
            <w:tcW w:w="7242" w:type="dxa"/>
            <w:vAlign w:val="center"/>
          </w:tcPr>
          <w:p w14:paraId="4BA2A69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Iestādes tiešās, netiešās un sintētiskās līdzdalības tādu finanšu sektora sabiedrību pirmā līmeņa pamata kapitāla instrumentos, kurās iestādei ir būtisks ieguldījums (summa pārsniedz 10 % slieksni, un ir atskaitītas atbilstošās īsās pozīcijas) (negatīva summa)</w:t>
            </w:r>
          </w:p>
          <w:p w14:paraId="39DCB46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Iestādes tiešās, netiešās un sintētiskās līdzdalības tādu finanšu sektora sabiedrību pirmā līmeņa pamata kapitāla instrumentos, kurās iestādei ir būtisks ieguldījums (summa pārsniedz 10 % slieksni, un ir atskaitītas atbilstošās īsās pozīcijas), kā aprakstīts </w:t>
            </w:r>
            <w:r>
              <w:rPr>
                <w:rFonts w:ascii="Times New Roman" w:hAnsi="Times New Roman"/>
                <w:i/>
                <w:sz w:val="24"/>
              </w:rPr>
              <w:t>CRR</w:t>
            </w:r>
            <w:r>
              <w:rPr>
                <w:rFonts w:ascii="Times New Roman" w:hAnsi="Times New Roman"/>
                <w:sz w:val="24"/>
              </w:rPr>
              <w:t xml:space="preserve"> 36. panta 1. punkta i) apakšpunktā, 43., 45., 47. pantā, 48. panta 1. punkta b) apakšpunktā un 49. panta 1.–3. punktā (negatīva summa)</w:t>
            </w:r>
          </w:p>
        </w:tc>
      </w:tr>
      <w:tr w:rsidR="00C85971" w:rsidRPr="007F4CC8" w14:paraId="42E6F488" w14:textId="77777777" w:rsidTr="00D819DE">
        <w:tc>
          <w:tcPr>
            <w:tcW w:w="1172" w:type="dxa"/>
            <w:vAlign w:val="center"/>
          </w:tcPr>
          <w:p w14:paraId="00D177C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20.</w:t>
            </w:r>
          </w:p>
        </w:tc>
        <w:tc>
          <w:tcPr>
            <w:tcW w:w="7242" w:type="dxa"/>
            <w:vAlign w:val="center"/>
          </w:tcPr>
          <w:p w14:paraId="7EEC1B7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Neattiecas</w:t>
            </w:r>
          </w:p>
        </w:tc>
      </w:tr>
      <w:tr w:rsidR="00C85971" w:rsidRPr="007F4CC8" w14:paraId="61B4CB13" w14:textId="77777777" w:rsidTr="00D819DE">
        <w:tc>
          <w:tcPr>
            <w:tcW w:w="1172" w:type="dxa"/>
            <w:vAlign w:val="center"/>
          </w:tcPr>
          <w:p w14:paraId="313FE94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EU-20.a</w:t>
            </w:r>
          </w:p>
        </w:tc>
        <w:tc>
          <w:tcPr>
            <w:tcW w:w="7242" w:type="dxa"/>
            <w:vAlign w:val="center"/>
          </w:tcPr>
          <w:p w14:paraId="7BE5743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Riska darījumu vērtība turpmāk minētajiem posteņiem, kas atbilst riska pakāpei 1250 % apmērā, ja iestāde izvēlas atskaitīšanas alternatīvu</w:t>
            </w:r>
          </w:p>
          <w:p w14:paraId="2CA8C5B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Riska darījumu vērtība, kas atbilst riska pakāpei 1250 % apmērā, ja iestāde izvēlas atskaitīšanas alternatīvu, kā aprakstīts </w:t>
            </w:r>
            <w:r>
              <w:rPr>
                <w:rFonts w:ascii="Times New Roman" w:hAnsi="Times New Roman"/>
                <w:i/>
                <w:sz w:val="24"/>
              </w:rPr>
              <w:t>CRR</w:t>
            </w:r>
            <w:r>
              <w:rPr>
                <w:rFonts w:ascii="Times New Roman" w:hAnsi="Times New Roman"/>
                <w:sz w:val="24"/>
              </w:rPr>
              <w:t xml:space="preserve"> 36. panta 1. punkta k) apakšpunktā</w:t>
            </w:r>
          </w:p>
        </w:tc>
      </w:tr>
      <w:tr w:rsidR="00C85971" w:rsidRPr="007F4CC8" w14:paraId="216A2996" w14:textId="77777777" w:rsidTr="00D819DE">
        <w:tc>
          <w:tcPr>
            <w:tcW w:w="1172" w:type="dxa"/>
            <w:vAlign w:val="center"/>
          </w:tcPr>
          <w:p w14:paraId="6FDF857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EU-20.b</w:t>
            </w:r>
          </w:p>
        </w:tc>
        <w:tc>
          <w:tcPr>
            <w:tcW w:w="7242" w:type="dxa"/>
            <w:vAlign w:val="center"/>
          </w:tcPr>
          <w:p w14:paraId="6D0F55A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 sk.: būtiskas līdzdalības ārpus finanšu sektora (negatīva summa)</w:t>
            </w:r>
          </w:p>
          <w:p w14:paraId="0056EA6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No summas, kas atklāta EU-20.a rindā, – summa, kas attiecas uz būtiskām līdzdalībām ārpus finanšu sektora saskaņā ar </w:t>
            </w:r>
            <w:r>
              <w:rPr>
                <w:rFonts w:ascii="Times New Roman" w:hAnsi="Times New Roman"/>
                <w:i/>
                <w:sz w:val="24"/>
              </w:rPr>
              <w:t>CRR</w:t>
            </w:r>
            <w:r>
              <w:rPr>
                <w:rFonts w:ascii="Times New Roman" w:hAnsi="Times New Roman"/>
                <w:sz w:val="24"/>
              </w:rPr>
              <w:t xml:space="preserve"> 36. panta 1. punkta k) apakšpunkta i) punktu un 89.–91. pantu (negatīva summa)</w:t>
            </w:r>
          </w:p>
        </w:tc>
      </w:tr>
      <w:tr w:rsidR="00C85971" w:rsidRPr="007F4CC8" w14:paraId="694F5B83" w14:textId="77777777" w:rsidTr="00D819DE">
        <w:tc>
          <w:tcPr>
            <w:tcW w:w="1172" w:type="dxa"/>
            <w:vAlign w:val="center"/>
          </w:tcPr>
          <w:p w14:paraId="00CA28A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EU-20.c</w:t>
            </w:r>
          </w:p>
        </w:tc>
        <w:tc>
          <w:tcPr>
            <w:tcW w:w="7242" w:type="dxa"/>
            <w:vAlign w:val="center"/>
          </w:tcPr>
          <w:p w14:paraId="66854EC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t. sk.: </w:t>
            </w:r>
            <w:proofErr w:type="spellStart"/>
            <w:r>
              <w:rPr>
                <w:rFonts w:ascii="Times New Roman" w:hAnsi="Times New Roman"/>
                <w:sz w:val="24"/>
              </w:rPr>
              <w:t>vērtspapīrošanas</w:t>
            </w:r>
            <w:proofErr w:type="spellEnd"/>
            <w:r>
              <w:rPr>
                <w:rFonts w:ascii="Times New Roman" w:hAnsi="Times New Roman"/>
                <w:sz w:val="24"/>
              </w:rPr>
              <w:t xml:space="preserve"> pozīcijas (negatīva summa)</w:t>
            </w:r>
          </w:p>
          <w:p w14:paraId="232BFB2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No summas, kas atklāta šīs veidnes EU-20.a rindā, – summa, kas attiecas uz </w:t>
            </w:r>
            <w:proofErr w:type="spellStart"/>
            <w:r>
              <w:rPr>
                <w:rFonts w:ascii="Times New Roman" w:hAnsi="Times New Roman"/>
                <w:sz w:val="24"/>
              </w:rPr>
              <w:t>vērtspapīrošanas</w:t>
            </w:r>
            <w:proofErr w:type="spellEnd"/>
            <w:r>
              <w:rPr>
                <w:rFonts w:ascii="Times New Roman" w:hAnsi="Times New Roman"/>
                <w:sz w:val="24"/>
              </w:rPr>
              <w:t xml:space="preserve"> pozīcijām saskaņā ar </w:t>
            </w:r>
            <w:r>
              <w:rPr>
                <w:rFonts w:ascii="Times New Roman" w:hAnsi="Times New Roman"/>
                <w:i/>
                <w:sz w:val="24"/>
              </w:rPr>
              <w:t>CRR</w:t>
            </w:r>
            <w:r>
              <w:rPr>
                <w:rFonts w:ascii="Times New Roman" w:hAnsi="Times New Roman"/>
                <w:sz w:val="24"/>
              </w:rPr>
              <w:t xml:space="preserve"> 36. panta 1. punkta k) apakšpunkta ii) punktu, 243. panta 1. punkta b) apakšpunktu, 244. panta 1. punkta b) apakšpunktu un 258. pantu (negatīva summa)</w:t>
            </w:r>
          </w:p>
        </w:tc>
      </w:tr>
      <w:tr w:rsidR="00C85971" w:rsidRPr="007F4CC8" w14:paraId="7CC14FB6" w14:textId="77777777" w:rsidTr="00D819DE">
        <w:tc>
          <w:tcPr>
            <w:tcW w:w="1172" w:type="dxa"/>
            <w:vAlign w:val="center"/>
          </w:tcPr>
          <w:p w14:paraId="2476A7F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EU-20.d</w:t>
            </w:r>
          </w:p>
        </w:tc>
        <w:tc>
          <w:tcPr>
            <w:tcW w:w="7242" w:type="dxa"/>
            <w:vAlign w:val="center"/>
          </w:tcPr>
          <w:p w14:paraId="7715FCA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 sk.: neapmaksātas piegādes (negatīva summa)</w:t>
            </w:r>
          </w:p>
          <w:p w14:paraId="218B6C2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No summas, kas atklāta šīs veidnes EU-20.a rindā, </w:t>
            </w:r>
            <w:r>
              <w:rPr>
                <w:rFonts w:ascii="Times New Roman" w:hAnsi="Times New Roman"/>
                <w:i/>
                <w:sz w:val="24"/>
              </w:rPr>
              <w:t>–</w:t>
            </w:r>
            <w:r>
              <w:rPr>
                <w:rFonts w:ascii="Times New Roman" w:hAnsi="Times New Roman"/>
                <w:sz w:val="24"/>
              </w:rPr>
              <w:t xml:space="preserve"> summa, kas attiecas uz neapmaksātām piegādēm saskaņā ar </w:t>
            </w:r>
            <w:r>
              <w:rPr>
                <w:rFonts w:ascii="Times New Roman" w:hAnsi="Times New Roman"/>
                <w:i/>
                <w:sz w:val="24"/>
              </w:rPr>
              <w:t>CRR</w:t>
            </w:r>
            <w:r>
              <w:rPr>
                <w:rFonts w:ascii="Times New Roman" w:hAnsi="Times New Roman"/>
                <w:sz w:val="24"/>
              </w:rPr>
              <w:t xml:space="preserve"> 36. panta 1. punkta k) apakšpunkta iii) punktu un 379. panta 3. punktu (negatīva summa)</w:t>
            </w:r>
          </w:p>
        </w:tc>
      </w:tr>
      <w:tr w:rsidR="00C85971" w:rsidRPr="007F4CC8" w14:paraId="2AAF4949" w14:textId="77777777" w:rsidTr="00D819DE">
        <w:tc>
          <w:tcPr>
            <w:tcW w:w="1172" w:type="dxa"/>
            <w:vAlign w:val="center"/>
          </w:tcPr>
          <w:p w14:paraId="1F1BEBC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21.</w:t>
            </w:r>
          </w:p>
        </w:tc>
        <w:tc>
          <w:tcPr>
            <w:tcW w:w="7242" w:type="dxa"/>
            <w:vAlign w:val="center"/>
          </w:tcPr>
          <w:p w14:paraId="0D30480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Atliktā nodokļa aktīvi, kuri izriet no laika noviržu izraisītas pagaidu starpības (summa pārsniedz 10 % slieksni, atskaitot attiecīgās nodokļu saistības, ja ir izpildīti </w:t>
            </w:r>
            <w:r>
              <w:rPr>
                <w:rFonts w:ascii="Times New Roman" w:hAnsi="Times New Roman"/>
                <w:i/>
                <w:sz w:val="24"/>
              </w:rPr>
              <w:t>CRR</w:t>
            </w:r>
            <w:r>
              <w:rPr>
                <w:rFonts w:ascii="Times New Roman" w:hAnsi="Times New Roman"/>
                <w:sz w:val="24"/>
              </w:rPr>
              <w:t xml:space="preserve"> 38. panta 3. punkta nosacījumi) (negatīva summa)</w:t>
            </w:r>
          </w:p>
          <w:p w14:paraId="1047B9C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Atliktā nodokļa aktīvi, kuri izriet no laika noviržu izraisītas pagaidu starpības (summa pārsniedz 10 % slieksni, atskaitot attiecīgās nodokļu saistības, ja ir izpildīti </w:t>
            </w:r>
            <w:r>
              <w:rPr>
                <w:rFonts w:ascii="Times New Roman" w:hAnsi="Times New Roman"/>
                <w:i/>
                <w:sz w:val="24"/>
              </w:rPr>
              <w:t>CRR</w:t>
            </w:r>
            <w:r>
              <w:rPr>
                <w:rFonts w:ascii="Times New Roman" w:hAnsi="Times New Roman"/>
                <w:sz w:val="24"/>
              </w:rPr>
              <w:t xml:space="preserve"> 38. panta 3. punkta nosacījumi), kā aprakstīts </w:t>
            </w:r>
            <w:r>
              <w:rPr>
                <w:rFonts w:ascii="Times New Roman" w:hAnsi="Times New Roman"/>
                <w:i/>
                <w:sz w:val="24"/>
              </w:rPr>
              <w:t>CRR</w:t>
            </w:r>
            <w:r>
              <w:rPr>
                <w:rFonts w:ascii="Times New Roman" w:hAnsi="Times New Roman"/>
                <w:sz w:val="24"/>
              </w:rPr>
              <w:t xml:space="preserve"> 36. panta 1. punkta c) apakšpunktā, 38. pantā un 48. panta 1. punkta a) apakšpunktā (negatīva summa)</w:t>
            </w:r>
          </w:p>
        </w:tc>
      </w:tr>
      <w:tr w:rsidR="00C85971" w:rsidRPr="007F4CC8" w14:paraId="38402C5C" w14:textId="77777777" w:rsidTr="00D819DE">
        <w:tc>
          <w:tcPr>
            <w:tcW w:w="1172" w:type="dxa"/>
            <w:vAlign w:val="center"/>
          </w:tcPr>
          <w:p w14:paraId="219B33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22.</w:t>
            </w:r>
          </w:p>
        </w:tc>
        <w:tc>
          <w:tcPr>
            <w:tcW w:w="7242" w:type="dxa"/>
            <w:vAlign w:val="center"/>
          </w:tcPr>
          <w:p w14:paraId="5A0A5E9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Summa, kas pārsniedz 17,65 % slieksni (negatīva summa)</w:t>
            </w:r>
          </w:p>
          <w:p w14:paraId="5ADBAB1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Summa, kas pārsniedz 17,65 % slieksni saskaņā ar </w:t>
            </w:r>
            <w:r>
              <w:rPr>
                <w:rFonts w:ascii="Times New Roman" w:hAnsi="Times New Roman"/>
                <w:i/>
                <w:sz w:val="24"/>
              </w:rPr>
              <w:t>CRR</w:t>
            </w:r>
            <w:r>
              <w:rPr>
                <w:rFonts w:ascii="Times New Roman" w:hAnsi="Times New Roman"/>
                <w:sz w:val="24"/>
              </w:rPr>
              <w:t xml:space="preserve"> 48. panta 1. punktu (negatīva summa)</w:t>
            </w:r>
          </w:p>
        </w:tc>
      </w:tr>
      <w:tr w:rsidR="00C85971" w:rsidRPr="007F4CC8" w14:paraId="7F34C5C9" w14:textId="77777777" w:rsidTr="00D819DE">
        <w:tc>
          <w:tcPr>
            <w:tcW w:w="1172" w:type="dxa"/>
            <w:vAlign w:val="center"/>
          </w:tcPr>
          <w:p w14:paraId="10F2A17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23.</w:t>
            </w:r>
          </w:p>
        </w:tc>
        <w:tc>
          <w:tcPr>
            <w:tcW w:w="7242" w:type="dxa"/>
            <w:vAlign w:val="center"/>
          </w:tcPr>
          <w:p w14:paraId="4727FB4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 sk.: iestādes tiešās, netiešās un sintētiskās līdzdalības tādu finanšu sektora sabiedrību pirmā līmeņa pamata kapitāla instrumentos, kurās iestādei ir būtisks ieguldījums</w:t>
            </w:r>
          </w:p>
          <w:p w14:paraId="63DF0E4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No summas, kas atklāta šīs veidnes 22. rindā, – iestādes tiešās, netiešās un sintētiskās līdzdalības summa tādu finanšu sektora sabiedrību pirmā līmeņa pamata kapitāla instrumentos, kurās iestādei ir būtisks ieguldījums, kā aprakstīts </w:t>
            </w:r>
            <w:r>
              <w:rPr>
                <w:rFonts w:ascii="Times New Roman" w:hAnsi="Times New Roman"/>
                <w:i/>
                <w:sz w:val="24"/>
              </w:rPr>
              <w:t>CRR</w:t>
            </w:r>
            <w:r>
              <w:rPr>
                <w:rFonts w:ascii="Times New Roman" w:hAnsi="Times New Roman"/>
                <w:sz w:val="24"/>
              </w:rPr>
              <w:t xml:space="preserve"> 36. panta 1. punkta i) apakšpunktā un 48. panta 1. punkta b) apakšpunktā</w:t>
            </w:r>
          </w:p>
        </w:tc>
      </w:tr>
      <w:tr w:rsidR="00C85971" w:rsidRPr="007F4CC8" w14:paraId="0813CA46" w14:textId="77777777" w:rsidTr="00D819DE">
        <w:tc>
          <w:tcPr>
            <w:tcW w:w="1172" w:type="dxa"/>
            <w:vAlign w:val="center"/>
          </w:tcPr>
          <w:p w14:paraId="2694AF1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24.</w:t>
            </w:r>
          </w:p>
        </w:tc>
        <w:tc>
          <w:tcPr>
            <w:tcW w:w="7242" w:type="dxa"/>
            <w:vAlign w:val="center"/>
          </w:tcPr>
          <w:p w14:paraId="310E2E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Neattiecas</w:t>
            </w:r>
          </w:p>
        </w:tc>
      </w:tr>
      <w:tr w:rsidR="00C85971" w:rsidRPr="007F4CC8" w14:paraId="02EC4B80" w14:textId="77777777" w:rsidTr="00D819DE">
        <w:tc>
          <w:tcPr>
            <w:tcW w:w="1172" w:type="dxa"/>
            <w:vAlign w:val="center"/>
          </w:tcPr>
          <w:p w14:paraId="7A4381A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25.</w:t>
            </w:r>
          </w:p>
        </w:tc>
        <w:tc>
          <w:tcPr>
            <w:tcW w:w="7242" w:type="dxa"/>
            <w:vAlign w:val="center"/>
          </w:tcPr>
          <w:p w14:paraId="0AD27D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 sk.: atliktā nodokļa aktīvi, kuri izriet no laika noviržu izraisītas pagaidu starpības</w:t>
            </w:r>
          </w:p>
          <w:p w14:paraId="482D0A2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No summas, kas atklāta šīs veidnes 22. rindā, – to atliktā nodokļa aktīvu summa, kuri izriet no laika noviržu izraisītas pagaidu starpības, kā aprakstīts </w:t>
            </w:r>
            <w:r>
              <w:rPr>
                <w:rFonts w:ascii="Times New Roman" w:hAnsi="Times New Roman"/>
                <w:i/>
                <w:sz w:val="24"/>
              </w:rPr>
              <w:t>CRR</w:t>
            </w:r>
            <w:r>
              <w:rPr>
                <w:rFonts w:ascii="Times New Roman" w:hAnsi="Times New Roman"/>
                <w:sz w:val="24"/>
              </w:rPr>
              <w:t xml:space="preserve"> 36. panta 1. punkta c) apakšpunktā, 38. pantā un 48. panta 1. punkta a) apakšpunktā</w:t>
            </w:r>
          </w:p>
        </w:tc>
      </w:tr>
      <w:tr w:rsidR="00C85971" w:rsidRPr="007F4CC8" w14:paraId="6B2DEE6B" w14:textId="77777777" w:rsidTr="00D819DE">
        <w:tc>
          <w:tcPr>
            <w:tcW w:w="1172" w:type="dxa"/>
            <w:vAlign w:val="center"/>
          </w:tcPr>
          <w:p w14:paraId="3E19173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EU-25.a</w:t>
            </w:r>
          </w:p>
        </w:tc>
        <w:tc>
          <w:tcPr>
            <w:tcW w:w="7242" w:type="dxa"/>
            <w:vAlign w:val="center"/>
          </w:tcPr>
          <w:p w14:paraId="639D39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Kārtējā finanšu gada zaudējumi (negatīva summa)</w:t>
            </w:r>
          </w:p>
          <w:p w14:paraId="21AC54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Finanšu gada zaudējumi saskaņā ar </w:t>
            </w:r>
            <w:r>
              <w:rPr>
                <w:rFonts w:ascii="Times New Roman" w:hAnsi="Times New Roman"/>
                <w:i/>
                <w:sz w:val="24"/>
              </w:rPr>
              <w:t>CRR</w:t>
            </w:r>
            <w:r>
              <w:rPr>
                <w:rFonts w:ascii="Times New Roman" w:hAnsi="Times New Roman"/>
                <w:sz w:val="24"/>
              </w:rPr>
              <w:t xml:space="preserve"> 36. panta 1. punkta a) apakšpunktu (negatīva summa)</w:t>
            </w:r>
          </w:p>
        </w:tc>
      </w:tr>
      <w:tr w:rsidR="00C85971" w:rsidRPr="007F4CC8" w14:paraId="6ED9742F" w14:textId="77777777" w:rsidTr="00D819DE">
        <w:tc>
          <w:tcPr>
            <w:tcW w:w="1172" w:type="dxa"/>
            <w:vAlign w:val="center"/>
          </w:tcPr>
          <w:p w14:paraId="5C206F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EU-25.b</w:t>
            </w:r>
          </w:p>
        </w:tc>
        <w:tc>
          <w:tcPr>
            <w:tcW w:w="7242" w:type="dxa"/>
            <w:vAlign w:val="center"/>
          </w:tcPr>
          <w:p w14:paraId="635948D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Paredzami nodokļi saistībā ar pirmā līmeņa pamata kapitāla posteņiem, izņemot gadījumu, ja iestāde atbilstīgi pielāgo pirmā līmeņa pamata kapitāla posteņu apmēru, ciktāl šādi nodokļi samazina apmēru, kādā šos posteņus var izmantot, lai segtu riskus vai zaudējumus (negatīva summa)</w:t>
            </w:r>
          </w:p>
          <w:p w14:paraId="734D12D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 xml:space="preserve">Paredzamu nodokļu summa saistībā ar pirmā līmeņa pamata kapitāla posteņiem, kuri ir paredzami aprēķināšanas laikā, izņemot gadījumu, ja iestāde atbilstīgi pielāgo pirmā līmeņa pamata kapitāla posteņu apmēru, ciktāl šādi nodokļi samazina apmēru, kādā šos posteņus var izmantot, lai segtu riskus vai zaudējumus, saskaņā ar </w:t>
            </w:r>
            <w:r>
              <w:rPr>
                <w:rFonts w:ascii="Times New Roman" w:hAnsi="Times New Roman"/>
                <w:i/>
                <w:sz w:val="24"/>
              </w:rPr>
              <w:t>CRR</w:t>
            </w:r>
            <w:r>
              <w:rPr>
                <w:rFonts w:ascii="Times New Roman" w:hAnsi="Times New Roman"/>
                <w:sz w:val="24"/>
              </w:rPr>
              <w:t xml:space="preserve"> 36. panta 1. punkta l) apakšpunktu (negatīva summa)</w:t>
            </w:r>
          </w:p>
        </w:tc>
      </w:tr>
      <w:tr w:rsidR="00C85971" w:rsidRPr="007F4CC8" w14:paraId="374CCA46" w14:textId="77777777" w:rsidTr="00D819DE">
        <w:tc>
          <w:tcPr>
            <w:tcW w:w="1172" w:type="dxa"/>
            <w:vAlign w:val="center"/>
          </w:tcPr>
          <w:p w14:paraId="274B2F6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26.</w:t>
            </w:r>
          </w:p>
        </w:tc>
        <w:tc>
          <w:tcPr>
            <w:tcW w:w="7242" w:type="dxa"/>
            <w:vAlign w:val="center"/>
          </w:tcPr>
          <w:p w14:paraId="0A6748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Neattiecas</w:t>
            </w:r>
          </w:p>
        </w:tc>
      </w:tr>
      <w:tr w:rsidR="00C85971" w:rsidRPr="007F4CC8" w14:paraId="7B071964" w14:textId="77777777" w:rsidTr="00D819DE">
        <w:tc>
          <w:tcPr>
            <w:tcW w:w="1172" w:type="dxa"/>
            <w:vAlign w:val="center"/>
          </w:tcPr>
          <w:p w14:paraId="17F8AA4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27.</w:t>
            </w:r>
          </w:p>
        </w:tc>
        <w:tc>
          <w:tcPr>
            <w:tcW w:w="7242" w:type="dxa"/>
            <w:vAlign w:val="center"/>
          </w:tcPr>
          <w:p w14:paraId="39A9779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Atbilstīgi pirmā līmeņa papildu kapitāla atskaitījumi, kas pārsniedz iestādes pirmā līmeņa papildu kapitāla posteņus (negatīva summa)</w:t>
            </w:r>
          </w:p>
          <w:p w14:paraId="355E3A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Atbilstīgi pirmā līmeņa papildu kapitāla atskaitījumi, kas pārsniedz iestādes pirmā līmeņa papildu kapitāla pozīcijas, kā aprakstīts </w:t>
            </w:r>
            <w:r>
              <w:rPr>
                <w:rFonts w:ascii="Times New Roman" w:hAnsi="Times New Roman"/>
                <w:i/>
                <w:sz w:val="24"/>
              </w:rPr>
              <w:t>CRR</w:t>
            </w:r>
            <w:r>
              <w:rPr>
                <w:rFonts w:ascii="Times New Roman" w:hAnsi="Times New Roman"/>
                <w:sz w:val="24"/>
              </w:rPr>
              <w:t xml:space="preserve"> 36. panta 1. punkta j) apakšpunktā (negatīva summa)</w:t>
            </w:r>
          </w:p>
        </w:tc>
      </w:tr>
      <w:tr w:rsidR="00C85971" w:rsidRPr="007F4CC8" w14:paraId="0C0AFC57" w14:textId="77777777" w:rsidTr="00D819DE">
        <w:tc>
          <w:tcPr>
            <w:tcW w:w="1172" w:type="dxa"/>
            <w:vAlign w:val="center"/>
          </w:tcPr>
          <w:p w14:paraId="5A66113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EU-27.a</w:t>
            </w:r>
          </w:p>
        </w:tc>
        <w:tc>
          <w:tcPr>
            <w:tcW w:w="7242" w:type="dxa"/>
            <w:vAlign w:val="center"/>
          </w:tcPr>
          <w:p w14:paraId="18AFE0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Citas regulatīvās korekcijas</w:t>
            </w:r>
          </w:p>
          <w:p w14:paraId="2E4AF0F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Šajā rindā iestādes atklāj visas piemērojamās regulatīvās korekcijas, kas paziņotas kā daļa no uzraudzības pārskatiem un nav iekļautas nevienā citā šīs veidnes rindā, attiecīgā gadījumā ieskaitot 9. SFPS pārejas noteikumu summu, līdz pārejas perioda beigām</w:t>
            </w:r>
          </w:p>
        </w:tc>
      </w:tr>
      <w:tr w:rsidR="00C85971" w:rsidRPr="007F4CC8" w14:paraId="1E8EA207" w14:textId="77777777" w:rsidTr="00D819DE">
        <w:tc>
          <w:tcPr>
            <w:tcW w:w="1172" w:type="dxa"/>
            <w:vAlign w:val="center"/>
          </w:tcPr>
          <w:p w14:paraId="1C7F497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28.</w:t>
            </w:r>
          </w:p>
        </w:tc>
        <w:tc>
          <w:tcPr>
            <w:tcW w:w="7242" w:type="dxa"/>
            <w:vAlign w:val="center"/>
          </w:tcPr>
          <w:p w14:paraId="5A31DB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Pirmā līmeņa pamata kapitāla kopējās regulatīvās korekcijas</w:t>
            </w:r>
          </w:p>
          <w:p w14:paraId="45C480D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Jāaprēķina kā šīs veidnes 7. līdz EU-20.a rindā, 21., 22. un EU-25.a līdz EU-27.a rindā norādīto vērtību summa</w:t>
            </w:r>
          </w:p>
        </w:tc>
      </w:tr>
      <w:tr w:rsidR="00C85971" w:rsidRPr="007F4CC8" w14:paraId="56BD07BE" w14:textId="77777777" w:rsidTr="00D819DE">
        <w:tc>
          <w:tcPr>
            <w:tcW w:w="1172" w:type="dxa"/>
            <w:vAlign w:val="center"/>
          </w:tcPr>
          <w:p w14:paraId="60EAA0B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29.</w:t>
            </w:r>
          </w:p>
        </w:tc>
        <w:tc>
          <w:tcPr>
            <w:tcW w:w="7242" w:type="dxa"/>
            <w:vAlign w:val="center"/>
          </w:tcPr>
          <w:p w14:paraId="242357F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Pirmā līmeņa pamata kapitāls</w:t>
            </w:r>
          </w:p>
          <w:p w14:paraId="7AF2FC11"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Jāaprēķina kā šīs veidnes 6. rinda, atskaitot 28. rindu</w:t>
            </w:r>
          </w:p>
        </w:tc>
      </w:tr>
      <w:tr w:rsidR="00C85971" w:rsidRPr="007F4CC8" w14:paraId="1DF5C941" w14:textId="77777777" w:rsidTr="00D819DE">
        <w:tc>
          <w:tcPr>
            <w:tcW w:w="1172" w:type="dxa"/>
            <w:vAlign w:val="center"/>
          </w:tcPr>
          <w:p w14:paraId="2CDEEFB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30.</w:t>
            </w:r>
          </w:p>
        </w:tc>
        <w:tc>
          <w:tcPr>
            <w:tcW w:w="7242" w:type="dxa"/>
            <w:vAlign w:val="center"/>
          </w:tcPr>
          <w:p w14:paraId="7F9E5A2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Kapitāla instrumenti un ar tiem saistītie akciju emisijas uzcenojuma konti</w:t>
            </w:r>
          </w:p>
          <w:p w14:paraId="78F65A5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Kapitāla instrumenti un ar tiem saistītie akciju emisijas uzcenojuma konti atbilstoši </w:t>
            </w:r>
            <w:r>
              <w:rPr>
                <w:rFonts w:ascii="Times New Roman" w:hAnsi="Times New Roman"/>
                <w:i/>
                <w:sz w:val="24"/>
              </w:rPr>
              <w:t>CRR</w:t>
            </w:r>
            <w:r>
              <w:rPr>
                <w:rFonts w:ascii="Times New Roman" w:hAnsi="Times New Roman"/>
                <w:sz w:val="24"/>
              </w:rPr>
              <w:t xml:space="preserve"> 51. un 52. pantam</w:t>
            </w:r>
          </w:p>
        </w:tc>
      </w:tr>
      <w:tr w:rsidR="00C85971" w:rsidRPr="007F4CC8" w14:paraId="74B53E8B" w14:textId="77777777" w:rsidTr="00D819DE">
        <w:tc>
          <w:tcPr>
            <w:tcW w:w="1172" w:type="dxa"/>
            <w:vAlign w:val="center"/>
          </w:tcPr>
          <w:p w14:paraId="793674E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31.</w:t>
            </w:r>
          </w:p>
        </w:tc>
        <w:tc>
          <w:tcPr>
            <w:tcW w:w="7242" w:type="dxa"/>
            <w:vAlign w:val="center"/>
          </w:tcPr>
          <w:p w14:paraId="392F241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 sk.: ko klasificē kā pašu kapitālu saskaņā ar piemērojamiem grāmatvedības standartiem</w:t>
            </w:r>
          </w:p>
          <w:p w14:paraId="6088A1D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Šīs veidnes 30. rindā norādītā summa, ko klasificē kā pašu kapitālu saskaņā ar piemērojamiem grāmatvedības standartiem</w:t>
            </w:r>
          </w:p>
        </w:tc>
      </w:tr>
      <w:tr w:rsidR="00C85971" w:rsidRPr="007F4CC8" w14:paraId="2271173B" w14:textId="77777777" w:rsidTr="00D819DE">
        <w:tc>
          <w:tcPr>
            <w:tcW w:w="1172" w:type="dxa"/>
            <w:vAlign w:val="center"/>
          </w:tcPr>
          <w:p w14:paraId="682D565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32.</w:t>
            </w:r>
          </w:p>
        </w:tc>
        <w:tc>
          <w:tcPr>
            <w:tcW w:w="7242" w:type="dxa"/>
            <w:vAlign w:val="center"/>
          </w:tcPr>
          <w:p w14:paraId="2E569E4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 sk.: ko klasificē kā saistības saskaņā ar piemērojamiem grāmatvedības standartiem</w:t>
            </w:r>
          </w:p>
          <w:p w14:paraId="4C02CCA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Šīs veidnes 30. rindā norādītā summa, ko uzskata par saistībām saskaņā ar piemērojamiem grāmatvedības standartiem</w:t>
            </w:r>
          </w:p>
        </w:tc>
      </w:tr>
      <w:tr w:rsidR="00C85971" w:rsidRPr="007F4CC8" w14:paraId="62AD6DB4" w14:textId="77777777" w:rsidTr="00D819DE">
        <w:tc>
          <w:tcPr>
            <w:tcW w:w="1172" w:type="dxa"/>
            <w:vAlign w:val="center"/>
          </w:tcPr>
          <w:p w14:paraId="6794E4A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33.</w:t>
            </w:r>
          </w:p>
        </w:tc>
        <w:tc>
          <w:tcPr>
            <w:tcW w:w="7242" w:type="dxa"/>
            <w:vAlign w:val="center"/>
          </w:tcPr>
          <w:p w14:paraId="56140F8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484. panta 4. punktā minēto atbilstīgo posteņu summa un ar tiem saistītie akciju emisijas uzcenojuma konti, uz ko attiecas pakāpeniska izslēgšana no pirmā līmeņa papildu kapitāla</w:t>
            </w:r>
          </w:p>
          <w:p w14:paraId="5AA40D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484. panta 4. punktā minēto atbilstīgo posteņu summa un ar tiem saistītie akciju emisijas uzcenojuma konti, uz kuriem attiecas pakāpeniska izslēgšana no pirmā līmeņa papildu kapitāla, kā aprakstīts </w:t>
            </w:r>
            <w:r>
              <w:rPr>
                <w:rFonts w:ascii="Times New Roman" w:hAnsi="Times New Roman"/>
                <w:i/>
                <w:sz w:val="24"/>
              </w:rPr>
              <w:t>CRR</w:t>
            </w:r>
            <w:r>
              <w:rPr>
                <w:rFonts w:ascii="Times New Roman" w:hAnsi="Times New Roman"/>
                <w:sz w:val="24"/>
              </w:rPr>
              <w:t xml:space="preserve"> 486. panta 3. punktā</w:t>
            </w:r>
          </w:p>
        </w:tc>
      </w:tr>
      <w:tr w:rsidR="00C85971" w:rsidRPr="007F4CC8" w14:paraId="35D70960" w14:textId="77777777" w:rsidTr="00D819DE">
        <w:tc>
          <w:tcPr>
            <w:tcW w:w="1172" w:type="dxa"/>
            <w:vAlign w:val="center"/>
          </w:tcPr>
          <w:p w14:paraId="325673A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EU-33.a</w:t>
            </w:r>
          </w:p>
        </w:tc>
        <w:tc>
          <w:tcPr>
            <w:tcW w:w="7242" w:type="dxa"/>
            <w:vAlign w:val="center"/>
          </w:tcPr>
          <w:p w14:paraId="399F78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494.a panta 1. punktā minēto atbilstīgo posteņu summa, uz ko attiecas pakāpeniska izslēgšana no pirmā līmeņa papildu kapitāla</w:t>
            </w:r>
          </w:p>
        </w:tc>
      </w:tr>
      <w:tr w:rsidR="00C85971" w:rsidRPr="007F4CC8" w14:paraId="797F5B5C" w14:textId="77777777" w:rsidTr="00D819DE">
        <w:tc>
          <w:tcPr>
            <w:tcW w:w="1172" w:type="dxa"/>
            <w:vAlign w:val="center"/>
          </w:tcPr>
          <w:p w14:paraId="158F74D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EU-33.b</w:t>
            </w:r>
          </w:p>
        </w:tc>
        <w:tc>
          <w:tcPr>
            <w:tcW w:w="7242" w:type="dxa"/>
            <w:vAlign w:val="center"/>
          </w:tcPr>
          <w:p w14:paraId="3B81B16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494.b panta 1. punktā minēto atbilstīgo posteņu summa, uz ko attiecas pakāpeniska izslēgšana no pirmā līmeņa papildu kapitāla</w:t>
            </w:r>
          </w:p>
        </w:tc>
      </w:tr>
      <w:tr w:rsidR="00C85971" w:rsidRPr="007F4CC8" w14:paraId="665D488C" w14:textId="77777777" w:rsidTr="00D819DE">
        <w:tc>
          <w:tcPr>
            <w:tcW w:w="1172" w:type="dxa"/>
            <w:vAlign w:val="center"/>
          </w:tcPr>
          <w:p w14:paraId="25E0D94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34.</w:t>
            </w:r>
          </w:p>
        </w:tc>
        <w:tc>
          <w:tcPr>
            <w:tcW w:w="7242" w:type="dxa"/>
            <w:vAlign w:val="center"/>
          </w:tcPr>
          <w:p w14:paraId="3DFD22A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Meitasuzņēmumu emitēts un trešo personu turēts atbilstīgs pirmā līmeņa kapitāls, kas ietverts konsolidētajā pirmā līmeņa papildu kapitālā (ieskaitot mazākuma līdzdalības daļas, kas nav iekļautas 5. rindā)</w:t>
            </w:r>
          </w:p>
          <w:p w14:paraId="33267B8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Meitasuzņēmumu emitēts un trešo personu turēts atbilstīgs pirmā līmeņa kapitāls, kas ietverts konsolidētajā pirmā līmeņa papildu kapitālā (ieskaitot mazākuma līdzdalības daļas, kas nav iekļautas 5. rindā), kā aprakstīts </w:t>
            </w:r>
            <w:r>
              <w:rPr>
                <w:rFonts w:ascii="Times New Roman" w:hAnsi="Times New Roman"/>
                <w:i/>
                <w:sz w:val="24"/>
              </w:rPr>
              <w:t>CRR</w:t>
            </w:r>
            <w:r>
              <w:rPr>
                <w:rFonts w:ascii="Times New Roman" w:hAnsi="Times New Roman"/>
                <w:sz w:val="24"/>
              </w:rPr>
              <w:t xml:space="preserve"> 85. un 86. pantā</w:t>
            </w:r>
          </w:p>
        </w:tc>
      </w:tr>
      <w:tr w:rsidR="00C85971" w:rsidRPr="007F4CC8" w14:paraId="6BC866FC" w14:textId="77777777" w:rsidTr="00D819DE">
        <w:tc>
          <w:tcPr>
            <w:tcW w:w="1172" w:type="dxa"/>
            <w:vAlign w:val="center"/>
          </w:tcPr>
          <w:p w14:paraId="23B51BA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35.</w:t>
            </w:r>
          </w:p>
        </w:tc>
        <w:tc>
          <w:tcPr>
            <w:tcW w:w="7242" w:type="dxa"/>
            <w:vAlign w:val="center"/>
          </w:tcPr>
          <w:p w14:paraId="75F25B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 sk.: meitasuzņēmumu emitēti instrumenti, uz kuriem attiecas pakāpeniska izslēgšana</w:t>
            </w:r>
          </w:p>
          <w:p w14:paraId="6DA4F14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Šīs veidnes 34. rindā norādītā summa, kas saistīta ar meitasuzņēmumu emitētiem instrumentiem, uz kuriem attiecas pakāpeniska izslēgšana, kā aprakstīts </w:t>
            </w:r>
            <w:r>
              <w:rPr>
                <w:rFonts w:ascii="Times New Roman" w:hAnsi="Times New Roman"/>
                <w:i/>
                <w:sz w:val="24"/>
              </w:rPr>
              <w:t>CRR</w:t>
            </w:r>
            <w:r>
              <w:rPr>
                <w:rFonts w:ascii="Times New Roman" w:hAnsi="Times New Roman"/>
                <w:sz w:val="24"/>
              </w:rPr>
              <w:t xml:space="preserve"> 486. panta 3. punktā</w:t>
            </w:r>
          </w:p>
        </w:tc>
      </w:tr>
      <w:tr w:rsidR="00C85971" w:rsidRPr="007F4CC8" w14:paraId="3D629E2A" w14:textId="77777777" w:rsidTr="00D819DE">
        <w:tc>
          <w:tcPr>
            <w:tcW w:w="1172" w:type="dxa"/>
            <w:vAlign w:val="center"/>
          </w:tcPr>
          <w:p w14:paraId="0223D50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36.</w:t>
            </w:r>
          </w:p>
        </w:tc>
        <w:tc>
          <w:tcPr>
            <w:tcW w:w="7242" w:type="dxa"/>
            <w:vAlign w:val="center"/>
          </w:tcPr>
          <w:p w14:paraId="33B0FEC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Pirmā līmeņa papildu kapitāls pirms regulatīvajām korekcijām</w:t>
            </w:r>
          </w:p>
          <w:p w14:paraId="282C0FB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Šīs veidnes 30., 33., EU-33.a, EU-33.b un 34. rindā norādīto vērtību summa</w:t>
            </w:r>
          </w:p>
        </w:tc>
      </w:tr>
      <w:tr w:rsidR="00C85971" w:rsidRPr="007F4CC8" w14:paraId="09436136" w14:textId="77777777" w:rsidTr="00D819DE">
        <w:tc>
          <w:tcPr>
            <w:tcW w:w="1172" w:type="dxa"/>
            <w:vAlign w:val="center"/>
          </w:tcPr>
          <w:p w14:paraId="0B5A993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37.</w:t>
            </w:r>
          </w:p>
        </w:tc>
        <w:tc>
          <w:tcPr>
            <w:tcW w:w="7242" w:type="dxa"/>
            <w:vAlign w:val="center"/>
          </w:tcPr>
          <w:p w14:paraId="2DB3777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Iestādes tiešās, netiešās un sintētiskās līdzdalības pašu pirmā līmeņa papildu kapitāla instrumentos (negatīva summa)</w:t>
            </w:r>
          </w:p>
          <w:p w14:paraId="58F9FBF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Iestādes tiešās, netiešās un sintētiskās līdzdalības pašu pirmā līmeņa papildu kapitāla instrumentos, kā aprakstīts </w:t>
            </w:r>
            <w:r>
              <w:rPr>
                <w:rFonts w:ascii="Times New Roman" w:hAnsi="Times New Roman"/>
                <w:i/>
                <w:sz w:val="24"/>
              </w:rPr>
              <w:t>CRR</w:t>
            </w:r>
            <w:r>
              <w:rPr>
                <w:rFonts w:ascii="Times New Roman" w:hAnsi="Times New Roman"/>
                <w:sz w:val="24"/>
              </w:rPr>
              <w:t xml:space="preserve"> 52. panta 1. punkta b) apakšpunktā, 56. panta a) punktā un 57. pantā (negatīva summa)</w:t>
            </w:r>
          </w:p>
        </w:tc>
      </w:tr>
      <w:tr w:rsidR="00C85971" w:rsidRPr="007F4CC8" w14:paraId="66530AD0" w14:textId="77777777" w:rsidTr="00D819DE">
        <w:tc>
          <w:tcPr>
            <w:tcW w:w="1172" w:type="dxa"/>
            <w:vAlign w:val="center"/>
          </w:tcPr>
          <w:p w14:paraId="78F5167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38.</w:t>
            </w:r>
          </w:p>
        </w:tc>
        <w:tc>
          <w:tcPr>
            <w:tcW w:w="7242" w:type="dxa"/>
            <w:vAlign w:val="center"/>
          </w:tcPr>
          <w:p w14:paraId="6D6C398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Tiešās, netiešās un sintētiskās līdzdalības tādu finanšu sektora sabiedrību pirmā līmeņa papildu kapitāla instrumentos, kurām ar iestādi ir savstarpējas līdzdalības, kas ir izveidotas, lai mākslīgi palielinātu iestādes pašu kapitālu (negatīva summa)</w:t>
            </w:r>
          </w:p>
          <w:p w14:paraId="6BE90AD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Tiešās, netiešās un sintētiskās līdzdalības tādu finanšu sektora sabiedrību pirmā līmeņa papildu kapitāla instrumentos, kurām ar iestādi ir savstarpējas līdzdalības, kas ir izveidotas, lai mākslīgi palielinātu iestādes </w:t>
            </w:r>
            <w:r>
              <w:rPr>
                <w:rFonts w:ascii="Times New Roman" w:hAnsi="Times New Roman"/>
                <w:sz w:val="24"/>
              </w:rPr>
              <w:lastRenderedPageBreak/>
              <w:t xml:space="preserve">pašu kapitālu, kā aprakstīts </w:t>
            </w:r>
            <w:r>
              <w:rPr>
                <w:rFonts w:ascii="Times New Roman" w:hAnsi="Times New Roman"/>
                <w:i/>
                <w:sz w:val="24"/>
              </w:rPr>
              <w:t>CRR</w:t>
            </w:r>
            <w:r>
              <w:rPr>
                <w:rFonts w:ascii="Times New Roman" w:hAnsi="Times New Roman"/>
                <w:sz w:val="24"/>
              </w:rPr>
              <w:t xml:space="preserve"> 56. panta b) punktā un 58. pantā (negatīva summa)</w:t>
            </w:r>
          </w:p>
        </w:tc>
      </w:tr>
      <w:tr w:rsidR="00C85971" w:rsidRPr="007F4CC8" w14:paraId="2E049DFF" w14:textId="77777777" w:rsidTr="00D819DE">
        <w:tc>
          <w:tcPr>
            <w:tcW w:w="1172" w:type="dxa"/>
            <w:vAlign w:val="center"/>
          </w:tcPr>
          <w:p w14:paraId="1AD2CCD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39.</w:t>
            </w:r>
          </w:p>
        </w:tc>
        <w:tc>
          <w:tcPr>
            <w:tcW w:w="7242" w:type="dxa"/>
            <w:vAlign w:val="center"/>
          </w:tcPr>
          <w:p w14:paraId="240A2B6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Tiešās, netiešās un sintētiskās līdzdalības tādu finanšu sektora sabiedrību pirmā līmeņa papildu kapitāla instrumentos, kurās iestādei nav būtiska ieguldījuma (summa pārsniedz 10 % slieksni, un ir atskaitītas atbilstošās īsās pozīcijas) (negatīva summa)</w:t>
            </w:r>
          </w:p>
          <w:p w14:paraId="3530D91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Tiešās, netiešās un sintētiskās līdzdalības tādu finanšu sektora sabiedrību pirmā līmeņa papildu kapitāla instrumentos, kurās iestādei nav būtiska ieguldījuma (summa pārsniedz 10 % slieksni, un ir atskaitītas atbilstošās īsās pozīcijas), kā aprakstīts </w:t>
            </w:r>
            <w:r>
              <w:rPr>
                <w:rFonts w:ascii="Times New Roman" w:hAnsi="Times New Roman"/>
                <w:i/>
                <w:sz w:val="24"/>
              </w:rPr>
              <w:t>CRR</w:t>
            </w:r>
            <w:r>
              <w:rPr>
                <w:rFonts w:ascii="Times New Roman" w:hAnsi="Times New Roman"/>
                <w:sz w:val="24"/>
              </w:rPr>
              <w:t xml:space="preserve"> 56. panta c) punktā un 59., 60. un 79. pantā (negatīva summa)</w:t>
            </w:r>
          </w:p>
        </w:tc>
      </w:tr>
      <w:tr w:rsidR="00C85971" w:rsidRPr="007F4CC8" w14:paraId="5BFE8669" w14:textId="77777777" w:rsidTr="00D819DE">
        <w:tc>
          <w:tcPr>
            <w:tcW w:w="1172" w:type="dxa"/>
            <w:vAlign w:val="center"/>
          </w:tcPr>
          <w:p w14:paraId="022E0F4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40.</w:t>
            </w:r>
          </w:p>
        </w:tc>
        <w:tc>
          <w:tcPr>
            <w:tcW w:w="7242" w:type="dxa"/>
            <w:vAlign w:val="center"/>
          </w:tcPr>
          <w:p w14:paraId="3C0D409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Iestādes tiešās, netiešās un sintētiskās līdzdalības tādu finanšu sektora sabiedrību pirmā līmeņa papildu kapitāla instrumentos, kurās iestādei ir būtisks ieguldījums (atskaitot atbilstošās īsās pozīcijas) (negatīva summa)</w:t>
            </w:r>
          </w:p>
          <w:p w14:paraId="63735E8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Iestādes tiešās, netiešās un sintētiskās līdzdalības tādu finanšu sektora sabiedrību pirmā līmeņa papildu kapitāla instrumentos, kurās iestādei ir būtisks ieguldījums (atskaitot atbilstošās īsās pozīcijas), kā aprakstīts </w:t>
            </w:r>
            <w:r>
              <w:rPr>
                <w:rFonts w:ascii="Times New Roman" w:hAnsi="Times New Roman"/>
                <w:i/>
                <w:sz w:val="24"/>
              </w:rPr>
              <w:t>CRR</w:t>
            </w:r>
            <w:r>
              <w:rPr>
                <w:rFonts w:ascii="Times New Roman" w:hAnsi="Times New Roman"/>
                <w:sz w:val="24"/>
              </w:rPr>
              <w:t xml:space="preserve"> 56. panta d) punktā un 59. un 79. pantā (negatīva summa)</w:t>
            </w:r>
          </w:p>
        </w:tc>
      </w:tr>
      <w:tr w:rsidR="00C85971" w:rsidRPr="007F4CC8" w14:paraId="5CE6BE67" w14:textId="77777777" w:rsidTr="00D819DE">
        <w:tc>
          <w:tcPr>
            <w:tcW w:w="1172" w:type="dxa"/>
            <w:vAlign w:val="center"/>
          </w:tcPr>
          <w:p w14:paraId="4E773F6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41.</w:t>
            </w:r>
          </w:p>
        </w:tc>
        <w:tc>
          <w:tcPr>
            <w:tcW w:w="7242" w:type="dxa"/>
            <w:vAlign w:val="center"/>
          </w:tcPr>
          <w:p w14:paraId="4FC8941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Neattiecas</w:t>
            </w:r>
          </w:p>
        </w:tc>
      </w:tr>
      <w:tr w:rsidR="00C85971" w:rsidRPr="007F4CC8" w14:paraId="0AAFA270" w14:textId="77777777" w:rsidTr="00D819DE">
        <w:tc>
          <w:tcPr>
            <w:tcW w:w="1172" w:type="dxa"/>
            <w:vAlign w:val="center"/>
          </w:tcPr>
          <w:p w14:paraId="1B23532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42.</w:t>
            </w:r>
          </w:p>
        </w:tc>
        <w:tc>
          <w:tcPr>
            <w:tcW w:w="7242" w:type="dxa"/>
            <w:vAlign w:val="center"/>
          </w:tcPr>
          <w:p w14:paraId="3539E1E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Atbilstīgi otrā līmeņa kapitāla atskaitījumi, kas pārsniedz iestādes otrā līmeņa kapitāla posteņus (negatīva summa)</w:t>
            </w:r>
          </w:p>
          <w:p w14:paraId="089D040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Atbilstīgi otrā līmeņa kapitāla atskaitījumi, kas pārsniedz iestādes otrā līmeņa kapitāla posteņus, kā aprakstīts </w:t>
            </w:r>
            <w:r>
              <w:rPr>
                <w:rFonts w:ascii="Times New Roman" w:hAnsi="Times New Roman"/>
                <w:i/>
                <w:sz w:val="24"/>
              </w:rPr>
              <w:t>CRR</w:t>
            </w:r>
            <w:r>
              <w:rPr>
                <w:rFonts w:ascii="Times New Roman" w:hAnsi="Times New Roman"/>
                <w:sz w:val="24"/>
              </w:rPr>
              <w:t xml:space="preserve"> 56. panta e) punktā (negatīva summa)</w:t>
            </w:r>
          </w:p>
        </w:tc>
      </w:tr>
      <w:tr w:rsidR="00C85971" w:rsidRPr="007F4CC8" w14:paraId="6B7A2BD2" w14:textId="77777777" w:rsidTr="00D819DE">
        <w:tc>
          <w:tcPr>
            <w:tcW w:w="1172" w:type="dxa"/>
            <w:vAlign w:val="center"/>
          </w:tcPr>
          <w:p w14:paraId="0EF750C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EU-42.a</w:t>
            </w:r>
          </w:p>
        </w:tc>
        <w:tc>
          <w:tcPr>
            <w:tcW w:w="7242" w:type="dxa"/>
            <w:vAlign w:val="center"/>
          </w:tcPr>
          <w:p w14:paraId="40E2643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Citas pirmā līmeņa papildu kapitāla regulatīvās korekcijas</w:t>
            </w:r>
          </w:p>
          <w:p w14:paraId="482C6DB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Šajā rindā iestādes atklāj visas piemērojamās regulatīvās korekcijas, kas paziņotas kā daļa no uzraudzības pārskatiem un nav iekļautas nevienā citā šīs veidnes rindā</w:t>
            </w:r>
          </w:p>
        </w:tc>
      </w:tr>
      <w:tr w:rsidR="00C85971" w:rsidRPr="007F4CC8" w14:paraId="08AEFC48" w14:textId="77777777" w:rsidTr="00D819DE">
        <w:tc>
          <w:tcPr>
            <w:tcW w:w="1172" w:type="dxa"/>
            <w:vAlign w:val="center"/>
          </w:tcPr>
          <w:p w14:paraId="48EFFA6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43.</w:t>
            </w:r>
          </w:p>
        </w:tc>
        <w:tc>
          <w:tcPr>
            <w:tcW w:w="7242" w:type="dxa"/>
            <w:vAlign w:val="center"/>
          </w:tcPr>
          <w:p w14:paraId="3966C0B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Pirmā līmeņa papildu kapitāla kopējās regulatīvās korekcijas</w:t>
            </w:r>
          </w:p>
          <w:p w14:paraId="35FB671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Šīs veidnes 37. līdz EU-42.a rindā norādīto vērtību summa</w:t>
            </w:r>
          </w:p>
        </w:tc>
      </w:tr>
      <w:tr w:rsidR="00C85971" w:rsidRPr="007F4CC8" w14:paraId="1134A6E3" w14:textId="77777777" w:rsidTr="00D819DE">
        <w:tc>
          <w:tcPr>
            <w:tcW w:w="1172" w:type="dxa"/>
            <w:vAlign w:val="center"/>
          </w:tcPr>
          <w:p w14:paraId="3C11139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44.</w:t>
            </w:r>
          </w:p>
        </w:tc>
        <w:tc>
          <w:tcPr>
            <w:tcW w:w="7242" w:type="dxa"/>
            <w:vAlign w:val="center"/>
          </w:tcPr>
          <w:p w14:paraId="7629AC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Pirmā līmeņa papildu kapitāls (</w:t>
            </w:r>
            <w:r>
              <w:rPr>
                <w:rFonts w:ascii="Times New Roman" w:hAnsi="Times New Roman"/>
                <w:i/>
                <w:sz w:val="24"/>
              </w:rPr>
              <w:t>AT1</w:t>
            </w:r>
            <w:r>
              <w:rPr>
                <w:rFonts w:ascii="Times New Roman" w:hAnsi="Times New Roman"/>
                <w:sz w:val="24"/>
              </w:rPr>
              <w:t>)</w:t>
            </w:r>
          </w:p>
          <w:p w14:paraId="37C4BA87"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Pirmā līmeņa papildu kapitāls, kas jāaprēķina, no šīs veidnes 36. rindas atņemot 43. rindu.</w:t>
            </w:r>
          </w:p>
        </w:tc>
      </w:tr>
      <w:tr w:rsidR="00C85971" w:rsidRPr="007F4CC8" w14:paraId="58B57B34" w14:textId="77777777" w:rsidTr="00D819DE">
        <w:tc>
          <w:tcPr>
            <w:tcW w:w="1172" w:type="dxa"/>
            <w:vAlign w:val="center"/>
          </w:tcPr>
          <w:p w14:paraId="2BF2FDC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45.</w:t>
            </w:r>
          </w:p>
        </w:tc>
        <w:tc>
          <w:tcPr>
            <w:tcW w:w="7242" w:type="dxa"/>
            <w:vAlign w:val="center"/>
          </w:tcPr>
          <w:p w14:paraId="23FE6E52" w14:textId="77777777" w:rsidR="00C85971" w:rsidRPr="00DD0C4D" w:rsidRDefault="00C85971" w:rsidP="00D819DE">
            <w:pPr>
              <w:spacing w:after="200"/>
              <w:jc w:val="both"/>
              <w:rPr>
                <w:rFonts w:ascii="Times New Roman" w:hAnsi="Times New Roman" w:cs="Times New Roman"/>
                <w:sz w:val="24"/>
              </w:rPr>
            </w:pPr>
            <w:r>
              <w:rPr>
                <w:rFonts w:ascii="Times New Roman" w:hAnsi="Times New Roman"/>
                <w:sz w:val="24"/>
              </w:rPr>
              <w:t>Pirmā līmeņa kapitāls (pirmā līmeņa kapitāls = pirmā līmeņa pamata kapitāls + pirmā līmeņa papildu kapitāls)</w:t>
            </w:r>
          </w:p>
          <w:p w14:paraId="72DB0E03"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lastRenderedPageBreak/>
              <w:t>Pirmā līmeņa kapitāls, kas jāaprēķina, saskaitot šīs veidnes 29. un 44. rindu.</w:t>
            </w:r>
          </w:p>
        </w:tc>
      </w:tr>
      <w:tr w:rsidR="00C85971" w:rsidRPr="007F4CC8" w14:paraId="12D4B8D6" w14:textId="77777777" w:rsidTr="00D819DE">
        <w:tc>
          <w:tcPr>
            <w:tcW w:w="1172" w:type="dxa"/>
            <w:vAlign w:val="center"/>
          </w:tcPr>
          <w:p w14:paraId="45446C4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46.</w:t>
            </w:r>
          </w:p>
        </w:tc>
        <w:tc>
          <w:tcPr>
            <w:tcW w:w="7242" w:type="dxa"/>
            <w:vAlign w:val="center"/>
          </w:tcPr>
          <w:p w14:paraId="6CFBD42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Kapitāla instrumenti un ar tiem saistītie akciju emisijas uzcenojuma konti</w:t>
            </w:r>
          </w:p>
          <w:p w14:paraId="140805D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Kapitāla instrumenti un ar tiem saistītie akciju emisijas uzcenojuma konti, kā aprakstīts </w:t>
            </w:r>
            <w:r>
              <w:rPr>
                <w:rFonts w:ascii="Times New Roman" w:hAnsi="Times New Roman"/>
                <w:i/>
                <w:sz w:val="24"/>
              </w:rPr>
              <w:t>CRR</w:t>
            </w:r>
            <w:r>
              <w:rPr>
                <w:rFonts w:ascii="Times New Roman" w:hAnsi="Times New Roman"/>
                <w:sz w:val="24"/>
              </w:rPr>
              <w:t xml:space="preserve"> 62. un 63. pantā</w:t>
            </w:r>
          </w:p>
        </w:tc>
      </w:tr>
      <w:tr w:rsidR="00C85971" w:rsidRPr="007F4CC8" w14:paraId="2D90A860" w14:textId="77777777" w:rsidTr="00D819DE">
        <w:tc>
          <w:tcPr>
            <w:tcW w:w="1172" w:type="dxa"/>
            <w:vAlign w:val="center"/>
          </w:tcPr>
          <w:p w14:paraId="05C3B84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47.</w:t>
            </w:r>
          </w:p>
        </w:tc>
        <w:tc>
          <w:tcPr>
            <w:tcW w:w="7242" w:type="dxa"/>
            <w:vAlign w:val="center"/>
          </w:tcPr>
          <w:p w14:paraId="4080F05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484. panta 5. punktā minēto atbilstīgo posteņu summa un ar tiem saistītie akciju emisijas uzcenojuma konti, uz ko attiecas pakāpeniska izslēgšana no otrā līmeņa kapitāla, kā aprakstīts </w:t>
            </w:r>
            <w:r>
              <w:rPr>
                <w:rFonts w:ascii="Times New Roman" w:hAnsi="Times New Roman"/>
                <w:i/>
                <w:sz w:val="24"/>
              </w:rPr>
              <w:t>CRR</w:t>
            </w:r>
            <w:r>
              <w:rPr>
                <w:rFonts w:ascii="Times New Roman" w:hAnsi="Times New Roman"/>
                <w:sz w:val="24"/>
              </w:rPr>
              <w:t xml:space="preserve"> 486. panta 4. punktā</w:t>
            </w:r>
          </w:p>
        </w:tc>
      </w:tr>
      <w:tr w:rsidR="00C85971" w:rsidRPr="007F4CC8" w14:paraId="072DFB14" w14:textId="77777777" w:rsidTr="00D819DE">
        <w:tc>
          <w:tcPr>
            <w:tcW w:w="1172" w:type="dxa"/>
            <w:vAlign w:val="center"/>
          </w:tcPr>
          <w:p w14:paraId="219826E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EU-47.a</w:t>
            </w:r>
          </w:p>
        </w:tc>
        <w:tc>
          <w:tcPr>
            <w:tcW w:w="7242" w:type="dxa"/>
            <w:vAlign w:val="center"/>
          </w:tcPr>
          <w:p w14:paraId="6518E59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494.a panta 2. punktā minēto atbilstīgo posteņu summa, uz ko attiecas pakāpeniska izslēgšana no otrā līmeņa kapitāla</w:t>
            </w:r>
          </w:p>
        </w:tc>
      </w:tr>
      <w:tr w:rsidR="00C85971" w:rsidRPr="007F4CC8" w14:paraId="662FF1A8" w14:textId="77777777" w:rsidTr="00D819DE">
        <w:tc>
          <w:tcPr>
            <w:tcW w:w="1172" w:type="dxa"/>
            <w:vAlign w:val="center"/>
          </w:tcPr>
          <w:p w14:paraId="0A05DA7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EU-47.b</w:t>
            </w:r>
          </w:p>
        </w:tc>
        <w:tc>
          <w:tcPr>
            <w:tcW w:w="7242" w:type="dxa"/>
            <w:vAlign w:val="center"/>
          </w:tcPr>
          <w:p w14:paraId="1D9B343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i/>
                <w:sz w:val="24"/>
              </w:rPr>
              <w:t>CRR</w:t>
            </w:r>
            <w:r>
              <w:rPr>
                <w:rFonts w:ascii="Times New Roman" w:hAnsi="Times New Roman"/>
                <w:sz w:val="24"/>
              </w:rPr>
              <w:t xml:space="preserve"> 494.b panta 2. punktā minēto atbilstīgo posteņu summa, uz ko attiecas pakāpeniska izslēgšana no otrā līmeņa kapitāla</w:t>
            </w:r>
          </w:p>
        </w:tc>
      </w:tr>
      <w:tr w:rsidR="00C85971" w:rsidRPr="007F4CC8" w14:paraId="7AA9A4D1" w14:textId="77777777" w:rsidTr="00D819DE">
        <w:tc>
          <w:tcPr>
            <w:tcW w:w="1172" w:type="dxa"/>
            <w:vAlign w:val="center"/>
          </w:tcPr>
          <w:p w14:paraId="5856B0A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48.</w:t>
            </w:r>
          </w:p>
        </w:tc>
        <w:tc>
          <w:tcPr>
            <w:tcW w:w="7242" w:type="dxa"/>
            <w:vAlign w:val="center"/>
          </w:tcPr>
          <w:p w14:paraId="10C3720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Meitasuzņēmumu emitēti un trešo personu turēti atbilstīgi pašu kapitāla instrumenti, kas ietverti konsolidētajā otrā līmeņa kapitālā (tostarp mazākuma līdzdalības daļas un pirmā līmeņa papildu kapitāla instrumenti, kas nav iekļauti 5. vai 34. rindā)</w:t>
            </w:r>
          </w:p>
          <w:p w14:paraId="34FA1FF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Meitasuzņēmumu emitēti un trešo personu turēti atbilstīgi pašu kapitāla instrumenti, kas ietverti konsolidētajā otrā līmeņa kapitālā (tostarp mazākuma līdzdalības daļas un pirmā līmeņa papildu kapitāla instrumenti, kas nav iekļauti šīs veidnes 5. vai 34. rindā), kā aprakstīts </w:t>
            </w:r>
            <w:r>
              <w:rPr>
                <w:rFonts w:ascii="Times New Roman" w:hAnsi="Times New Roman"/>
                <w:i/>
                <w:sz w:val="24"/>
              </w:rPr>
              <w:t>CRR</w:t>
            </w:r>
            <w:r>
              <w:rPr>
                <w:rFonts w:ascii="Times New Roman" w:hAnsi="Times New Roman"/>
                <w:sz w:val="24"/>
              </w:rPr>
              <w:t xml:space="preserve"> 87. un 88. pantā</w:t>
            </w:r>
          </w:p>
        </w:tc>
      </w:tr>
      <w:tr w:rsidR="00C85971" w:rsidRPr="007F4CC8" w14:paraId="7CF5EC35" w14:textId="77777777" w:rsidTr="00D819DE">
        <w:tc>
          <w:tcPr>
            <w:tcW w:w="1172" w:type="dxa"/>
            <w:vAlign w:val="center"/>
          </w:tcPr>
          <w:p w14:paraId="5924CE7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49.</w:t>
            </w:r>
          </w:p>
        </w:tc>
        <w:tc>
          <w:tcPr>
            <w:tcW w:w="7242" w:type="dxa"/>
            <w:vAlign w:val="center"/>
          </w:tcPr>
          <w:p w14:paraId="7410FA9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 sk.: meitasuzņēmumu emitēti instrumenti, uz kuriem attiecas pakāpeniska izslēgšana</w:t>
            </w:r>
          </w:p>
          <w:p w14:paraId="4A6AC43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No 48. rindā norādītās summas – summa, kas saistīta ar meitasuzņēmumu emitētiem instrumentiem, uz kuriem attiecas pakāpeniska izslēgšana, kā aprakstīts </w:t>
            </w:r>
            <w:r>
              <w:rPr>
                <w:rFonts w:ascii="Times New Roman" w:hAnsi="Times New Roman"/>
                <w:i/>
                <w:sz w:val="24"/>
              </w:rPr>
              <w:t>CRR</w:t>
            </w:r>
            <w:r>
              <w:rPr>
                <w:rFonts w:ascii="Times New Roman" w:hAnsi="Times New Roman"/>
                <w:sz w:val="24"/>
              </w:rPr>
              <w:t xml:space="preserve"> 486. panta 4. punktā</w:t>
            </w:r>
          </w:p>
        </w:tc>
      </w:tr>
      <w:tr w:rsidR="00C85971" w:rsidRPr="007F4CC8" w14:paraId="2405178D" w14:textId="77777777" w:rsidTr="00D819DE">
        <w:tc>
          <w:tcPr>
            <w:tcW w:w="1172" w:type="dxa"/>
            <w:vAlign w:val="center"/>
          </w:tcPr>
          <w:p w14:paraId="0173ADF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50.</w:t>
            </w:r>
          </w:p>
        </w:tc>
        <w:tc>
          <w:tcPr>
            <w:tcW w:w="7242" w:type="dxa"/>
            <w:vAlign w:val="center"/>
          </w:tcPr>
          <w:p w14:paraId="4DE652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Kredītriska korekcijas</w:t>
            </w:r>
          </w:p>
          <w:p w14:paraId="17F4C3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Kredītriska korekcijas saskaņā ar </w:t>
            </w:r>
            <w:r>
              <w:rPr>
                <w:rFonts w:ascii="Times New Roman" w:hAnsi="Times New Roman"/>
                <w:i/>
                <w:sz w:val="24"/>
              </w:rPr>
              <w:t>CRR</w:t>
            </w:r>
            <w:r>
              <w:rPr>
                <w:rFonts w:ascii="Times New Roman" w:hAnsi="Times New Roman"/>
                <w:sz w:val="24"/>
              </w:rPr>
              <w:t xml:space="preserve"> 62. panta c) un d) punktu</w:t>
            </w:r>
          </w:p>
        </w:tc>
      </w:tr>
      <w:tr w:rsidR="00C85971" w:rsidRPr="007F4CC8" w14:paraId="1C2C753C" w14:textId="77777777" w:rsidTr="00D819DE">
        <w:tc>
          <w:tcPr>
            <w:tcW w:w="1172" w:type="dxa"/>
            <w:vAlign w:val="center"/>
          </w:tcPr>
          <w:p w14:paraId="72654E6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51.</w:t>
            </w:r>
          </w:p>
        </w:tc>
        <w:tc>
          <w:tcPr>
            <w:tcW w:w="7242" w:type="dxa"/>
            <w:vAlign w:val="center"/>
          </w:tcPr>
          <w:p w14:paraId="337E42A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Otrā līmeņa kapitāls pirms regulatīvajām korekcijām</w:t>
            </w:r>
          </w:p>
          <w:p w14:paraId="0DD0BE98"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Šīs veidnes 46.–48. un 50. rindā norādīto vērtību summa</w:t>
            </w:r>
          </w:p>
        </w:tc>
      </w:tr>
      <w:tr w:rsidR="00C85971" w:rsidRPr="007F4CC8" w14:paraId="31904690" w14:textId="77777777" w:rsidTr="00D819DE">
        <w:tc>
          <w:tcPr>
            <w:tcW w:w="1172" w:type="dxa"/>
            <w:vAlign w:val="center"/>
          </w:tcPr>
          <w:p w14:paraId="709A321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52.</w:t>
            </w:r>
          </w:p>
        </w:tc>
        <w:tc>
          <w:tcPr>
            <w:tcW w:w="7242" w:type="dxa"/>
            <w:vAlign w:val="center"/>
          </w:tcPr>
          <w:p w14:paraId="6681B95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Iestādes tiešās, netiešās un sintētiskās līdzdalības pašu otrā līmeņa kapitāla instrumentos un subordinētos aizdevumos (negatīva summa)</w:t>
            </w:r>
          </w:p>
          <w:p w14:paraId="19B0E00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Iestādes tiešās, netiešās un sintētiskās līdzdalības pašu otrā līmeņa kapitāla instrumentos un subordinētos aizdevumos, kā aprakstīts </w:t>
            </w:r>
            <w:r>
              <w:rPr>
                <w:rFonts w:ascii="Times New Roman" w:hAnsi="Times New Roman"/>
                <w:i/>
                <w:sz w:val="24"/>
              </w:rPr>
              <w:t>CRR</w:t>
            </w:r>
            <w:r>
              <w:rPr>
                <w:rFonts w:ascii="Times New Roman" w:hAnsi="Times New Roman"/>
                <w:sz w:val="24"/>
              </w:rPr>
              <w:t xml:space="preserve"> 63. panta b) punkta i) apakšpunktā, 66. panta a) punktā un 67. pantā (negatīva summa)</w:t>
            </w:r>
          </w:p>
        </w:tc>
      </w:tr>
      <w:tr w:rsidR="00C85971" w:rsidRPr="007F4CC8" w14:paraId="6EFA8D4D" w14:textId="77777777" w:rsidTr="00D819DE">
        <w:tc>
          <w:tcPr>
            <w:tcW w:w="1172" w:type="dxa"/>
            <w:vAlign w:val="center"/>
          </w:tcPr>
          <w:p w14:paraId="06EFD51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53.</w:t>
            </w:r>
          </w:p>
        </w:tc>
        <w:tc>
          <w:tcPr>
            <w:tcW w:w="7242" w:type="dxa"/>
            <w:vAlign w:val="center"/>
          </w:tcPr>
          <w:p w14:paraId="39CF61F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Tiešās, netiešās un sintētiskās līdzdalības tādu finanšu sektora sabiedrību otrā līmeņa kapitāla instrumentos un subordinētos aizdevumos, kurām ar iestādi ir savstarpējas līdzdalības, kas ir izveidotas, lai mākslīgi palielinātu iestādes pašu kapitālu (negatīva summa)</w:t>
            </w:r>
          </w:p>
          <w:p w14:paraId="63EF50C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Tiešās, netiešās un sintētiskās līdzdalības tādu finanšu sektora sabiedrību otrā līmeņa kapitāla instrumentos un subordinētos aizdevumos, kurām ar iestādi ir savstarpējas līdzdalības, kas ir izveidotas, lai mākslīgi palielinātu iestādes pašu kapitālu, kā aprakstīts </w:t>
            </w:r>
            <w:r>
              <w:rPr>
                <w:rFonts w:ascii="Times New Roman" w:hAnsi="Times New Roman"/>
                <w:i/>
                <w:sz w:val="24"/>
              </w:rPr>
              <w:t>CRR</w:t>
            </w:r>
            <w:r>
              <w:rPr>
                <w:rFonts w:ascii="Times New Roman" w:hAnsi="Times New Roman"/>
                <w:sz w:val="24"/>
              </w:rPr>
              <w:t xml:space="preserve"> 66. panta b) punktā un 68. pantā (negatīva summa)</w:t>
            </w:r>
          </w:p>
        </w:tc>
      </w:tr>
      <w:tr w:rsidR="00C85971" w:rsidRPr="007F4CC8" w14:paraId="219230BA" w14:textId="77777777" w:rsidTr="00D819DE">
        <w:tc>
          <w:tcPr>
            <w:tcW w:w="1172" w:type="dxa"/>
            <w:vAlign w:val="center"/>
          </w:tcPr>
          <w:p w14:paraId="1D0BA6D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54.</w:t>
            </w:r>
          </w:p>
        </w:tc>
        <w:tc>
          <w:tcPr>
            <w:tcW w:w="7242" w:type="dxa"/>
            <w:vAlign w:val="center"/>
          </w:tcPr>
          <w:p w14:paraId="630CD7F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Tiešās, netiešās un sintētiskās līdzdalības tādu finanšu sektora sabiedrību otrā līmeņa kapitāla instrumentos un subordinētos aizdevumos, kurās iestādei nav būtiska ieguldījuma (summa pārsniedz 10 % slieksni, un ir atskaitītas atbilstošās īsās pozīcijas) (negatīva summa)</w:t>
            </w:r>
          </w:p>
          <w:p w14:paraId="7EC6896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Tiešās, netiešās un sintētiskās līdzdalības tādu finanšu sektora sabiedrību otrā līmeņa kapitāla instrumentos un subordinētos aizdevumos, kurās iestādei nav būtiska ieguldījuma (summa pārsniedz 10 % slieksni, un ir atskaitītas atbilstošās īsās pozīcijas), kā aprakstīts </w:t>
            </w:r>
            <w:r>
              <w:rPr>
                <w:rFonts w:ascii="Times New Roman" w:hAnsi="Times New Roman"/>
                <w:i/>
                <w:sz w:val="24"/>
              </w:rPr>
              <w:t>CRR</w:t>
            </w:r>
            <w:r>
              <w:rPr>
                <w:rFonts w:ascii="Times New Roman" w:hAnsi="Times New Roman"/>
                <w:sz w:val="24"/>
              </w:rPr>
              <w:t xml:space="preserve"> 66. panta c) punktā un 69., 70. un 79. pantā (negatīva summa)</w:t>
            </w:r>
          </w:p>
        </w:tc>
      </w:tr>
      <w:tr w:rsidR="00C85971" w:rsidRPr="007F4CC8" w14:paraId="4CF79A0E" w14:textId="77777777" w:rsidTr="00D819DE">
        <w:tc>
          <w:tcPr>
            <w:tcW w:w="1172" w:type="dxa"/>
            <w:vAlign w:val="center"/>
          </w:tcPr>
          <w:p w14:paraId="0064103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54.a</w:t>
            </w:r>
          </w:p>
        </w:tc>
        <w:tc>
          <w:tcPr>
            <w:tcW w:w="7242" w:type="dxa"/>
            <w:vAlign w:val="center"/>
          </w:tcPr>
          <w:p w14:paraId="19CF9E4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Neattiecas</w:t>
            </w:r>
          </w:p>
        </w:tc>
      </w:tr>
      <w:tr w:rsidR="00C85971" w:rsidRPr="007F4CC8" w14:paraId="2F8BDCF5" w14:textId="77777777" w:rsidTr="00D819DE">
        <w:tc>
          <w:tcPr>
            <w:tcW w:w="1172" w:type="dxa"/>
            <w:vAlign w:val="center"/>
          </w:tcPr>
          <w:p w14:paraId="51DDDCE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55.</w:t>
            </w:r>
          </w:p>
        </w:tc>
        <w:tc>
          <w:tcPr>
            <w:tcW w:w="7242" w:type="dxa"/>
            <w:vAlign w:val="center"/>
          </w:tcPr>
          <w:p w14:paraId="476FDFA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Iestādes tiešās, netiešās un sintētiskās līdzdalības tādu finanšu sektora sabiedrību otrā līmeņa kapitāla instrumentos un subordinētos aizdevumos, kurās iestādei ir būtisks ieguldījums (atskaitot atbilstošās īsās pozīcijas) (negatīva summa)</w:t>
            </w:r>
          </w:p>
          <w:p w14:paraId="29E41F2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Iestādes tiešās, netiešās un sintētiskās līdzdalības tādu finanšu sektora sabiedrību otrā līmeņa kapitāla instrumentos un subordinētos aizdevumos, kurās iestādei ir būtisks ieguldījums (atskaitot atbilstošās īsās pozīcijas) saskaņā ar </w:t>
            </w:r>
            <w:r>
              <w:rPr>
                <w:rFonts w:ascii="Times New Roman" w:hAnsi="Times New Roman"/>
                <w:i/>
                <w:sz w:val="24"/>
              </w:rPr>
              <w:t>CRR</w:t>
            </w:r>
            <w:r>
              <w:rPr>
                <w:rFonts w:ascii="Times New Roman" w:hAnsi="Times New Roman"/>
                <w:sz w:val="24"/>
              </w:rPr>
              <w:t xml:space="preserve"> 66. panta d) punktu un 69. un 79. pantu (negatīva summa)</w:t>
            </w:r>
          </w:p>
        </w:tc>
      </w:tr>
      <w:tr w:rsidR="00C85971" w:rsidRPr="007F4CC8" w14:paraId="0148038E" w14:textId="77777777" w:rsidTr="00D819DE">
        <w:tc>
          <w:tcPr>
            <w:tcW w:w="1172" w:type="dxa"/>
            <w:vAlign w:val="center"/>
          </w:tcPr>
          <w:p w14:paraId="23A868E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56.</w:t>
            </w:r>
          </w:p>
        </w:tc>
        <w:tc>
          <w:tcPr>
            <w:tcW w:w="7242" w:type="dxa"/>
            <w:vAlign w:val="center"/>
          </w:tcPr>
          <w:p w14:paraId="0ECD9E8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Neattiecas</w:t>
            </w:r>
          </w:p>
        </w:tc>
      </w:tr>
      <w:tr w:rsidR="00C85971" w:rsidRPr="007F4CC8" w14:paraId="2716DC8B" w14:textId="77777777" w:rsidTr="00D819DE">
        <w:tc>
          <w:tcPr>
            <w:tcW w:w="1172" w:type="dxa"/>
            <w:vAlign w:val="center"/>
          </w:tcPr>
          <w:p w14:paraId="42BD15E2" w14:textId="77777777" w:rsidR="00C85971" w:rsidRPr="007F4CC8" w:rsidRDefault="00C85971" w:rsidP="00D819DE">
            <w:pPr>
              <w:spacing w:after="200"/>
              <w:rPr>
                <w:rFonts w:ascii="Times New Roman" w:hAnsi="Times New Roman" w:cs="Times New Roman"/>
                <w:color w:val="000000" w:themeColor="text1"/>
                <w:sz w:val="24"/>
              </w:rPr>
            </w:pPr>
            <w:r>
              <w:rPr>
                <w:rFonts w:ascii="Times New Roman" w:hAnsi="Times New Roman"/>
                <w:color w:val="000000" w:themeColor="text1"/>
                <w:sz w:val="24"/>
              </w:rPr>
              <w:t>EU-56.a</w:t>
            </w:r>
          </w:p>
        </w:tc>
        <w:tc>
          <w:tcPr>
            <w:tcW w:w="7242" w:type="dxa"/>
            <w:vAlign w:val="center"/>
          </w:tcPr>
          <w:p w14:paraId="6AFD5AE3" w14:textId="77777777" w:rsidR="00C85971" w:rsidRPr="007F4CC8" w:rsidRDefault="00C85971" w:rsidP="00D819DE">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Atbilstoši atbilstīgo saistību atskaitījumi, kas pārsniedz iestādes atbilstīgo saistību posteņus (negatīva summa)</w:t>
            </w:r>
          </w:p>
          <w:p w14:paraId="1494AF54" w14:textId="77777777" w:rsidR="00C85971" w:rsidRPr="007F4CC8" w:rsidRDefault="00C85971" w:rsidP="00D819DE">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Atbilstoši atbilstīgo saistību atskaitījumi, kas pārsniedz iestādes atbilstīgo saistību posteņus saskaņā ar</w:t>
            </w:r>
            <w:r>
              <w:rPr>
                <w:rFonts w:ascii="Times New Roman" w:hAnsi="Times New Roman"/>
                <w:sz w:val="24"/>
              </w:rPr>
              <w:t xml:space="preserve"> </w:t>
            </w:r>
            <w:r>
              <w:rPr>
                <w:rFonts w:ascii="Times New Roman" w:hAnsi="Times New Roman"/>
                <w:i/>
                <w:sz w:val="24"/>
              </w:rPr>
              <w:t>CRR</w:t>
            </w:r>
            <w:r>
              <w:rPr>
                <w:rFonts w:ascii="Times New Roman" w:hAnsi="Times New Roman"/>
                <w:sz w:val="24"/>
              </w:rPr>
              <w:t xml:space="preserve"> 66. panta e) punktu </w:t>
            </w:r>
            <w:r>
              <w:rPr>
                <w:rFonts w:ascii="Times New Roman" w:hAnsi="Times New Roman"/>
                <w:color w:val="000000" w:themeColor="text1"/>
                <w:sz w:val="24"/>
              </w:rPr>
              <w:t xml:space="preserve">(negatīva summa) </w:t>
            </w:r>
          </w:p>
        </w:tc>
      </w:tr>
      <w:tr w:rsidR="00C85971" w:rsidRPr="007F4CC8" w14:paraId="03E3DFDB" w14:textId="77777777" w:rsidTr="00D819DE">
        <w:tc>
          <w:tcPr>
            <w:tcW w:w="1172" w:type="dxa"/>
            <w:vAlign w:val="center"/>
          </w:tcPr>
          <w:p w14:paraId="33178EB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EU-56.b</w:t>
            </w:r>
          </w:p>
        </w:tc>
        <w:tc>
          <w:tcPr>
            <w:tcW w:w="7242" w:type="dxa"/>
            <w:vAlign w:val="center"/>
          </w:tcPr>
          <w:p w14:paraId="29CB1AF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Citas otrā līmeņa kapitāla regulatīvās korekcijas</w:t>
            </w:r>
          </w:p>
          <w:p w14:paraId="6FD61B5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Šajā rindā iestādes atklāj visas piemērojamās regulatīvās korekcijas, kas paziņotas kā daļa no uzraudzības pārskatiem un nav iekļautas nevienā citā šīs veidnes rindā.</w:t>
            </w:r>
          </w:p>
        </w:tc>
      </w:tr>
      <w:tr w:rsidR="00C85971" w:rsidRPr="007F4CC8" w14:paraId="554EFD95" w14:textId="77777777" w:rsidTr="00D819DE">
        <w:tc>
          <w:tcPr>
            <w:tcW w:w="1172" w:type="dxa"/>
            <w:vAlign w:val="center"/>
          </w:tcPr>
          <w:p w14:paraId="580F82C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57.</w:t>
            </w:r>
          </w:p>
        </w:tc>
        <w:tc>
          <w:tcPr>
            <w:tcW w:w="7242" w:type="dxa"/>
            <w:vAlign w:val="center"/>
          </w:tcPr>
          <w:p w14:paraId="66195BF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Otrā līmeņa kapitāla kopējās regulatīvās korekcijas</w:t>
            </w:r>
          </w:p>
          <w:p w14:paraId="75EB0C9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Šīs veidnes 52. līdz EU-56.b rindā norādīto vērtību summa</w:t>
            </w:r>
          </w:p>
        </w:tc>
      </w:tr>
      <w:tr w:rsidR="00C85971" w:rsidRPr="007F4CC8" w14:paraId="540074EE" w14:textId="77777777" w:rsidTr="00D819DE">
        <w:tc>
          <w:tcPr>
            <w:tcW w:w="1172" w:type="dxa"/>
            <w:vAlign w:val="center"/>
          </w:tcPr>
          <w:p w14:paraId="5263195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58.</w:t>
            </w:r>
          </w:p>
        </w:tc>
        <w:tc>
          <w:tcPr>
            <w:tcW w:w="7242" w:type="dxa"/>
            <w:vAlign w:val="center"/>
          </w:tcPr>
          <w:p w14:paraId="3ED0F5A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Otrā līmeņa kapitāls</w:t>
            </w:r>
          </w:p>
          <w:p w14:paraId="716BEA17"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Otrā līmeņa kapitāls, kas jāaprēķina, no šīs veidnes 51. rindas atņemot 57. rindu</w:t>
            </w:r>
          </w:p>
        </w:tc>
      </w:tr>
      <w:tr w:rsidR="00C85971" w:rsidRPr="007F4CC8" w14:paraId="461D354A" w14:textId="77777777" w:rsidTr="00D819DE">
        <w:tc>
          <w:tcPr>
            <w:tcW w:w="1172" w:type="dxa"/>
            <w:vAlign w:val="center"/>
          </w:tcPr>
          <w:p w14:paraId="3092C2F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59.</w:t>
            </w:r>
          </w:p>
        </w:tc>
        <w:tc>
          <w:tcPr>
            <w:tcW w:w="7242" w:type="dxa"/>
            <w:vAlign w:val="center"/>
          </w:tcPr>
          <w:p w14:paraId="094EB59C" w14:textId="77777777" w:rsidR="00C85971" w:rsidRPr="00DD0C4D" w:rsidRDefault="00C85971" w:rsidP="00D819DE">
            <w:pPr>
              <w:spacing w:after="200"/>
              <w:jc w:val="both"/>
              <w:rPr>
                <w:rFonts w:ascii="Times New Roman" w:hAnsi="Times New Roman" w:cs="Times New Roman"/>
                <w:sz w:val="24"/>
              </w:rPr>
            </w:pPr>
            <w:r>
              <w:rPr>
                <w:rFonts w:ascii="Times New Roman" w:hAnsi="Times New Roman"/>
                <w:sz w:val="24"/>
              </w:rPr>
              <w:t>Kopējais kapitāls (kopējais kapitāls = pirmā līmeņa kapitāls + otrā līmeņa kapitāls)</w:t>
            </w:r>
          </w:p>
          <w:p w14:paraId="2B99CB6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Kopējais kapitāls, kas jāaprēķina, saskaitot šīs veidnes 45. un 58. rindu</w:t>
            </w:r>
          </w:p>
        </w:tc>
      </w:tr>
      <w:tr w:rsidR="00C85971" w:rsidRPr="007F4CC8" w14:paraId="75343758" w14:textId="77777777" w:rsidTr="00D819DE">
        <w:tc>
          <w:tcPr>
            <w:tcW w:w="1172" w:type="dxa"/>
            <w:vAlign w:val="center"/>
          </w:tcPr>
          <w:p w14:paraId="69922FE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60.</w:t>
            </w:r>
          </w:p>
        </w:tc>
        <w:tc>
          <w:tcPr>
            <w:tcW w:w="7242" w:type="dxa"/>
            <w:vAlign w:val="center"/>
          </w:tcPr>
          <w:p w14:paraId="28455AF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Kopējā riska darījumu vērtība</w:t>
            </w:r>
          </w:p>
          <w:p w14:paraId="07C03EC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Grupas kopējā riska darījumu vērtība</w:t>
            </w:r>
          </w:p>
        </w:tc>
      </w:tr>
      <w:tr w:rsidR="00C85971" w:rsidRPr="007F4CC8" w14:paraId="02976C44" w14:textId="77777777" w:rsidTr="00D819DE">
        <w:tc>
          <w:tcPr>
            <w:tcW w:w="1172" w:type="dxa"/>
            <w:vAlign w:val="center"/>
          </w:tcPr>
          <w:p w14:paraId="6F3C24E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61.</w:t>
            </w:r>
          </w:p>
        </w:tc>
        <w:tc>
          <w:tcPr>
            <w:tcW w:w="7242" w:type="dxa"/>
            <w:vAlign w:val="center"/>
          </w:tcPr>
          <w:p w14:paraId="715F939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Pirmā līmeņa pamata kapitāls</w:t>
            </w:r>
          </w:p>
          <w:p w14:paraId="7AAE0F8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Pirmā līmeņa pamata kapitāls (izteikts procentos no kopējās riska darījumu vērtības), kas jāaprēķina, šīs veidnes 29. rindu dalot ar 60. rindu (izteiktu procentos), saskaņā ar </w:t>
            </w:r>
            <w:r>
              <w:rPr>
                <w:rFonts w:ascii="Times New Roman" w:hAnsi="Times New Roman"/>
                <w:i/>
                <w:sz w:val="24"/>
              </w:rPr>
              <w:t>CRR</w:t>
            </w:r>
            <w:r>
              <w:rPr>
                <w:rFonts w:ascii="Times New Roman" w:hAnsi="Times New Roman"/>
                <w:sz w:val="24"/>
              </w:rPr>
              <w:t xml:space="preserve"> 92. panta 2. punkta a) apakšpunktu</w:t>
            </w:r>
          </w:p>
        </w:tc>
      </w:tr>
      <w:tr w:rsidR="00C85971" w:rsidRPr="007F4CC8" w14:paraId="5CE7D564" w14:textId="77777777" w:rsidTr="00D819DE">
        <w:tc>
          <w:tcPr>
            <w:tcW w:w="1172" w:type="dxa"/>
            <w:vAlign w:val="center"/>
          </w:tcPr>
          <w:p w14:paraId="062130A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62.</w:t>
            </w:r>
          </w:p>
        </w:tc>
        <w:tc>
          <w:tcPr>
            <w:tcW w:w="7242" w:type="dxa"/>
            <w:vAlign w:val="center"/>
          </w:tcPr>
          <w:p w14:paraId="4254B9E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Pirmā līmeņa kapitāls</w:t>
            </w:r>
          </w:p>
          <w:p w14:paraId="476DDDE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Pirmā līmeņa kapitāls (izteikts procentos no kopējās riska darījumu vērtības), kas jāaprēķina, šīs veidnes 45. rindu dalot ar 60. rindu (izteiktu procentos), saskaņā ar </w:t>
            </w:r>
            <w:r>
              <w:rPr>
                <w:rFonts w:ascii="Times New Roman" w:hAnsi="Times New Roman"/>
                <w:i/>
                <w:sz w:val="24"/>
              </w:rPr>
              <w:t>CRR</w:t>
            </w:r>
            <w:r>
              <w:rPr>
                <w:rFonts w:ascii="Times New Roman" w:hAnsi="Times New Roman"/>
                <w:sz w:val="24"/>
              </w:rPr>
              <w:t xml:space="preserve"> 92. panta 2. punkta b) apakšpunktu</w:t>
            </w:r>
          </w:p>
        </w:tc>
      </w:tr>
      <w:tr w:rsidR="00C85971" w:rsidRPr="007F4CC8" w14:paraId="1127C16A" w14:textId="77777777" w:rsidTr="00D819DE">
        <w:tc>
          <w:tcPr>
            <w:tcW w:w="1172" w:type="dxa"/>
            <w:vAlign w:val="center"/>
          </w:tcPr>
          <w:p w14:paraId="44F246A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63.</w:t>
            </w:r>
          </w:p>
        </w:tc>
        <w:tc>
          <w:tcPr>
            <w:tcW w:w="7242" w:type="dxa"/>
            <w:vAlign w:val="center"/>
          </w:tcPr>
          <w:p w14:paraId="1D8E438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Kopējais kapitāls</w:t>
            </w:r>
          </w:p>
          <w:p w14:paraId="75C13C0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Kopējais kapitāls (izteikts procentos no kopējās riska darījumu vērtības), kas jāaprēķina, šīs veidnes 59. rindu dalot ar 60. rindu (izteiktu procentos), saskaņā ar </w:t>
            </w:r>
            <w:r>
              <w:rPr>
                <w:rFonts w:ascii="Times New Roman" w:hAnsi="Times New Roman"/>
                <w:i/>
                <w:sz w:val="24"/>
              </w:rPr>
              <w:t>CRR</w:t>
            </w:r>
            <w:r>
              <w:rPr>
                <w:rFonts w:ascii="Times New Roman" w:hAnsi="Times New Roman"/>
                <w:sz w:val="24"/>
              </w:rPr>
              <w:t xml:space="preserve"> 92. panta 2. punkta c) apakšpunktu</w:t>
            </w:r>
          </w:p>
        </w:tc>
      </w:tr>
      <w:tr w:rsidR="00C85971" w:rsidRPr="007F4CC8" w14:paraId="425E6610" w14:textId="77777777" w:rsidTr="00D819DE">
        <w:tc>
          <w:tcPr>
            <w:tcW w:w="1172" w:type="dxa"/>
            <w:vAlign w:val="center"/>
          </w:tcPr>
          <w:p w14:paraId="3D33CB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64.</w:t>
            </w:r>
          </w:p>
        </w:tc>
        <w:tc>
          <w:tcPr>
            <w:tcW w:w="7242" w:type="dxa"/>
            <w:vAlign w:val="center"/>
          </w:tcPr>
          <w:p w14:paraId="070995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Iestādes pirmā līmeņa pamata kapitāla vispārējās kapitāla prasības </w:t>
            </w:r>
          </w:p>
          <w:p w14:paraId="15B2255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Iestādes pirmā līmeņa pamata kapitāla vispārējās kapitāla prasības aprēķina kā pirmā līmeņa pamata kapitāla prasības saskaņā ar </w:t>
            </w:r>
            <w:r>
              <w:rPr>
                <w:rFonts w:ascii="Times New Roman" w:hAnsi="Times New Roman"/>
                <w:i/>
                <w:sz w:val="24"/>
              </w:rPr>
              <w:t>CRR</w:t>
            </w:r>
            <w:r>
              <w:rPr>
                <w:rFonts w:ascii="Times New Roman" w:hAnsi="Times New Roman"/>
                <w:sz w:val="24"/>
              </w:rPr>
              <w:t xml:space="preserve"> 92. panta 1. punkta a) apakšpunktu, pieskaitot pirmā līmeņa pamata kapitāla papildu prasības, kas iestādēm jātur saskaņā ar Direktīvas 2013/36/ES</w:t>
            </w:r>
            <w:r w:rsidRPr="007F4CC8">
              <w:rPr>
                <w:rStyle w:val="FootnoteReference"/>
                <w:rFonts w:cs="Times New Roman"/>
                <w:lang w:eastAsia="ja-JP"/>
              </w:rPr>
              <w:footnoteReference w:id="2"/>
            </w:r>
            <w:r>
              <w:rPr>
                <w:rFonts w:ascii="Times New Roman" w:hAnsi="Times New Roman"/>
                <w:sz w:val="24"/>
              </w:rPr>
              <w:t xml:space="preserve"> (“</w:t>
            </w:r>
            <w:r>
              <w:rPr>
                <w:rFonts w:ascii="Times New Roman" w:hAnsi="Times New Roman"/>
                <w:i/>
                <w:sz w:val="24"/>
              </w:rPr>
              <w:t>CRD</w:t>
            </w:r>
            <w:r>
              <w:rPr>
                <w:rFonts w:ascii="Times New Roman" w:hAnsi="Times New Roman"/>
                <w:sz w:val="24"/>
              </w:rPr>
              <w:t xml:space="preserve">”) 104. panta 1. punkta a) apakšpunktu, un pieskaitot apvienoto rezervju prasību saskaņā ar </w:t>
            </w:r>
            <w:r>
              <w:rPr>
                <w:rFonts w:ascii="Times New Roman" w:hAnsi="Times New Roman"/>
                <w:i/>
                <w:sz w:val="24"/>
              </w:rPr>
              <w:t>CRD</w:t>
            </w:r>
            <w:r>
              <w:rPr>
                <w:rFonts w:ascii="Times New Roman" w:hAnsi="Times New Roman"/>
                <w:sz w:val="24"/>
              </w:rPr>
              <w:t xml:space="preserve"> 128. panta 6. punktu, izsakot procentos no riska darījumu vērtības.</w:t>
            </w:r>
          </w:p>
          <w:p w14:paraId="6E4E1C3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Jāaprēķina kā 4,5 %, pieskaitot 2. pīlāra papildu prasības, kas iestādēm jātur saskaņā ar </w:t>
            </w:r>
            <w:r>
              <w:rPr>
                <w:rFonts w:ascii="Times New Roman" w:hAnsi="Times New Roman"/>
                <w:i/>
                <w:sz w:val="24"/>
              </w:rPr>
              <w:t>CRD</w:t>
            </w:r>
            <w:r>
              <w:rPr>
                <w:rFonts w:ascii="Times New Roman" w:hAnsi="Times New Roman"/>
                <w:sz w:val="24"/>
              </w:rPr>
              <w:t xml:space="preserve"> 104. panta 1. punkta a) apakšpunktu, un pieskaitot apvienoto rezervju prasību saskaņā ar </w:t>
            </w:r>
            <w:r>
              <w:rPr>
                <w:rFonts w:ascii="Times New Roman" w:hAnsi="Times New Roman"/>
                <w:i/>
                <w:sz w:val="24"/>
              </w:rPr>
              <w:t>CRD</w:t>
            </w:r>
            <w:r>
              <w:rPr>
                <w:rFonts w:ascii="Times New Roman" w:hAnsi="Times New Roman"/>
                <w:sz w:val="24"/>
              </w:rPr>
              <w:t xml:space="preserve"> 128., 129., 130., 131. un 133. pantu. </w:t>
            </w:r>
          </w:p>
          <w:p w14:paraId="459D65F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 xml:space="preserve">Šajā rindā norāda pirmā līmeņa pamata kapitāla rādītāju, kas ir būtisks, novērtējot ierobežojumus attiecībā uz sadali. </w:t>
            </w:r>
          </w:p>
        </w:tc>
      </w:tr>
      <w:tr w:rsidR="00C85971" w:rsidRPr="007F4CC8" w14:paraId="3545FB20" w14:textId="77777777" w:rsidTr="00D819DE">
        <w:tc>
          <w:tcPr>
            <w:tcW w:w="1172" w:type="dxa"/>
            <w:vAlign w:val="center"/>
          </w:tcPr>
          <w:p w14:paraId="3A7E54C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65.</w:t>
            </w:r>
          </w:p>
        </w:tc>
        <w:tc>
          <w:tcPr>
            <w:tcW w:w="7242" w:type="dxa"/>
            <w:vAlign w:val="center"/>
          </w:tcPr>
          <w:p w14:paraId="1B86E50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 sk.: kapitāla saglabāšanas rezervju prasība</w:t>
            </w:r>
          </w:p>
          <w:p w14:paraId="210E1B9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Šīs veidnes 64. rindā norādītā summa (izteikta procentos no kopējās riska darījumu vērtības), kas saistīta ar kapitāla saglabāšanas rezervju prasību saskaņā ar </w:t>
            </w:r>
            <w:r>
              <w:rPr>
                <w:rFonts w:ascii="Times New Roman" w:hAnsi="Times New Roman"/>
                <w:i/>
                <w:sz w:val="24"/>
              </w:rPr>
              <w:t>CRD</w:t>
            </w:r>
            <w:r>
              <w:rPr>
                <w:rFonts w:ascii="Times New Roman" w:hAnsi="Times New Roman"/>
                <w:sz w:val="24"/>
              </w:rPr>
              <w:t xml:space="preserve"> 129. pantu</w:t>
            </w:r>
          </w:p>
        </w:tc>
      </w:tr>
      <w:tr w:rsidR="00C85971" w:rsidRPr="007F4CC8" w14:paraId="0D9440CE" w14:textId="77777777" w:rsidTr="00D819DE">
        <w:tc>
          <w:tcPr>
            <w:tcW w:w="1172" w:type="dxa"/>
            <w:vAlign w:val="center"/>
          </w:tcPr>
          <w:p w14:paraId="58BFD11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66.</w:t>
            </w:r>
          </w:p>
        </w:tc>
        <w:tc>
          <w:tcPr>
            <w:tcW w:w="7242" w:type="dxa"/>
            <w:vAlign w:val="center"/>
          </w:tcPr>
          <w:p w14:paraId="51C550B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t. sk.: </w:t>
            </w:r>
            <w:proofErr w:type="spellStart"/>
            <w:r>
              <w:rPr>
                <w:rFonts w:ascii="Times New Roman" w:hAnsi="Times New Roman"/>
                <w:sz w:val="24"/>
              </w:rPr>
              <w:t>pretciklisko</w:t>
            </w:r>
            <w:proofErr w:type="spellEnd"/>
            <w:r>
              <w:rPr>
                <w:rFonts w:ascii="Times New Roman" w:hAnsi="Times New Roman"/>
                <w:sz w:val="24"/>
              </w:rPr>
              <w:t xml:space="preserve"> kapitāla rezervju prasība</w:t>
            </w:r>
          </w:p>
          <w:p w14:paraId="19B69C3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Šīs veidnes 64. rindā norādītā summa (izteikta procentos no kopējās riska darījumu vērtības), kas saistīta ar </w:t>
            </w:r>
            <w:proofErr w:type="spellStart"/>
            <w:r>
              <w:rPr>
                <w:rFonts w:ascii="Times New Roman" w:hAnsi="Times New Roman"/>
                <w:sz w:val="24"/>
              </w:rPr>
              <w:t>pretciklisko</w:t>
            </w:r>
            <w:proofErr w:type="spellEnd"/>
            <w:r>
              <w:rPr>
                <w:rFonts w:ascii="Times New Roman" w:hAnsi="Times New Roman"/>
                <w:sz w:val="24"/>
              </w:rPr>
              <w:t xml:space="preserve"> rezervju prasību saskaņā ar </w:t>
            </w:r>
            <w:r>
              <w:rPr>
                <w:rFonts w:ascii="Times New Roman" w:hAnsi="Times New Roman"/>
                <w:i/>
                <w:sz w:val="24"/>
              </w:rPr>
              <w:t>CRD</w:t>
            </w:r>
            <w:r>
              <w:rPr>
                <w:rFonts w:ascii="Times New Roman" w:hAnsi="Times New Roman"/>
                <w:sz w:val="24"/>
              </w:rPr>
              <w:t xml:space="preserve"> 130. pantu </w:t>
            </w:r>
          </w:p>
        </w:tc>
      </w:tr>
      <w:tr w:rsidR="00C85971" w:rsidRPr="007F4CC8" w14:paraId="6CFBEEA0" w14:textId="77777777" w:rsidTr="00D819DE">
        <w:tc>
          <w:tcPr>
            <w:tcW w:w="1172" w:type="dxa"/>
            <w:vAlign w:val="center"/>
          </w:tcPr>
          <w:p w14:paraId="0B86C94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67.</w:t>
            </w:r>
          </w:p>
        </w:tc>
        <w:tc>
          <w:tcPr>
            <w:tcW w:w="7242" w:type="dxa"/>
            <w:vAlign w:val="center"/>
          </w:tcPr>
          <w:p w14:paraId="4CE348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 sk.: sistēmiskā riska rezervju prasība</w:t>
            </w:r>
          </w:p>
          <w:p w14:paraId="465CB0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Šīs veidnes 64. rindā norādītā summa (izteikta procentos no kopējās riska darījumu vērtības), kas saistīta ar sistēmiskā riska rezervju prasību saskaņā ar </w:t>
            </w:r>
            <w:r>
              <w:rPr>
                <w:rFonts w:ascii="Times New Roman" w:hAnsi="Times New Roman"/>
                <w:i/>
                <w:sz w:val="24"/>
              </w:rPr>
              <w:t>CRD</w:t>
            </w:r>
            <w:r>
              <w:rPr>
                <w:rFonts w:ascii="Times New Roman" w:hAnsi="Times New Roman"/>
                <w:sz w:val="24"/>
              </w:rPr>
              <w:t xml:space="preserve"> 133. pantu</w:t>
            </w:r>
          </w:p>
        </w:tc>
      </w:tr>
      <w:tr w:rsidR="00C85971" w:rsidRPr="007F4CC8" w14:paraId="410A360E" w14:textId="77777777" w:rsidTr="00D819DE">
        <w:tc>
          <w:tcPr>
            <w:tcW w:w="1172" w:type="dxa"/>
            <w:vAlign w:val="center"/>
          </w:tcPr>
          <w:p w14:paraId="17FE665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EU-67.a</w:t>
            </w:r>
          </w:p>
        </w:tc>
        <w:tc>
          <w:tcPr>
            <w:tcW w:w="7242" w:type="dxa"/>
            <w:vAlign w:val="center"/>
          </w:tcPr>
          <w:p w14:paraId="15A9C98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 sk.: globālo sistēmiski nozīmīgo iestāžu (G-SNI) vai citu sistēmiski nozīmīgo iestāžu (C-SNI) rezervju prasība</w:t>
            </w:r>
          </w:p>
          <w:p w14:paraId="2DA57F1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Šīs veidnes 64. rindā norādītā summa (izteikta procentos no kopējās riska darījumu vērtības), kas saistīta ar G-SNI vai C-SNI rezervju prasību saskaņā ar </w:t>
            </w:r>
            <w:r>
              <w:rPr>
                <w:rFonts w:ascii="Times New Roman" w:hAnsi="Times New Roman"/>
                <w:i/>
                <w:sz w:val="24"/>
              </w:rPr>
              <w:t>CRD</w:t>
            </w:r>
            <w:r>
              <w:rPr>
                <w:rFonts w:ascii="Times New Roman" w:hAnsi="Times New Roman"/>
                <w:sz w:val="24"/>
              </w:rPr>
              <w:t xml:space="preserve"> 131. pantu</w:t>
            </w:r>
          </w:p>
        </w:tc>
      </w:tr>
      <w:tr w:rsidR="00C85971" w:rsidRPr="007F4CC8" w14:paraId="6B7DF9D5" w14:textId="77777777" w:rsidTr="00D819DE">
        <w:tc>
          <w:tcPr>
            <w:tcW w:w="1172" w:type="dxa"/>
            <w:vAlign w:val="center"/>
          </w:tcPr>
          <w:p w14:paraId="3FC88B9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EU-67.b</w:t>
            </w:r>
          </w:p>
        </w:tc>
        <w:tc>
          <w:tcPr>
            <w:tcW w:w="7242" w:type="dxa"/>
            <w:vAlign w:val="center"/>
          </w:tcPr>
          <w:p w14:paraId="0BA08EF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t. sk.: pašu kapitāla papildu prasības, lai novērstu riskus, kas nav pārmērīgas sviras risks </w:t>
            </w:r>
          </w:p>
          <w:p w14:paraId="2998F1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Šīs veidnes 64. rindā norādītā summa (izteikta procentos no kopējās riska darījumu vērtības), kas saistīta ar pašu kapitāla papildu prasībām, kuras izriet no uzraudzības pārskatīšanas procesa un kuras jāizpilda ar pirmā līmeņa pamata kapitālu, kā minēts Direktīvas 2013/36/ES 104. panta 1. punkta a) apakšpunktā</w:t>
            </w:r>
          </w:p>
        </w:tc>
      </w:tr>
      <w:tr w:rsidR="00C85971" w:rsidRPr="007F4CC8" w14:paraId="14443E4F" w14:textId="77777777" w:rsidTr="00D819DE">
        <w:tc>
          <w:tcPr>
            <w:tcW w:w="1172" w:type="dxa"/>
            <w:vAlign w:val="center"/>
          </w:tcPr>
          <w:p w14:paraId="5AE63FF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68.</w:t>
            </w:r>
          </w:p>
        </w:tc>
        <w:tc>
          <w:tcPr>
            <w:tcW w:w="7242" w:type="dxa"/>
            <w:vAlign w:val="center"/>
          </w:tcPr>
          <w:p w14:paraId="4E319E0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Pirmā līmeņa pamata kapitāls (kā procentuāla attiecība pret riska darījumu vērtību), kas pieejams pēc minimālo kapitāla prasību izpildes</w:t>
            </w:r>
          </w:p>
          <w:p w14:paraId="6089746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Jāaprēķina, no 61. rindas atņemot 4,5 (procentpunkti), atņemot EU-67.b rindu un atņemot pirmā līmeņa pamata kapitālu, ko iestāde izmantojusi, lai izpildītu savas pirmā līmeņa un otrā līmeņa papildu kapitāla prasības.</w:t>
            </w:r>
          </w:p>
        </w:tc>
      </w:tr>
      <w:tr w:rsidR="00C85971" w:rsidRPr="007F4CC8" w14:paraId="7FF2039B" w14:textId="77777777" w:rsidTr="00D819DE">
        <w:tc>
          <w:tcPr>
            <w:tcW w:w="1172" w:type="dxa"/>
            <w:vAlign w:val="center"/>
          </w:tcPr>
          <w:p w14:paraId="191725D5"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69.</w:t>
            </w:r>
          </w:p>
        </w:tc>
        <w:tc>
          <w:tcPr>
            <w:tcW w:w="7242" w:type="dxa"/>
            <w:vAlign w:val="center"/>
          </w:tcPr>
          <w:p w14:paraId="28131AA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Neattiecas</w:t>
            </w:r>
          </w:p>
        </w:tc>
      </w:tr>
      <w:tr w:rsidR="00C85971" w:rsidRPr="007F4CC8" w14:paraId="2EA16280" w14:textId="77777777" w:rsidTr="00D819DE">
        <w:tc>
          <w:tcPr>
            <w:tcW w:w="1172" w:type="dxa"/>
            <w:vAlign w:val="center"/>
          </w:tcPr>
          <w:p w14:paraId="02813F15"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70.</w:t>
            </w:r>
          </w:p>
        </w:tc>
        <w:tc>
          <w:tcPr>
            <w:tcW w:w="7242" w:type="dxa"/>
            <w:vAlign w:val="center"/>
          </w:tcPr>
          <w:p w14:paraId="335DC02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Neattiecas</w:t>
            </w:r>
          </w:p>
        </w:tc>
      </w:tr>
      <w:tr w:rsidR="00C85971" w:rsidRPr="007F4CC8" w14:paraId="03C8281B" w14:textId="77777777" w:rsidTr="00D819DE">
        <w:tc>
          <w:tcPr>
            <w:tcW w:w="1172" w:type="dxa"/>
            <w:vAlign w:val="center"/>
          </w:tcPr>
          <w:p w14:paraId="004C9A2D"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71.</w:t>
            </w:r>
          </w:p>
        </w:tc>
        <w:tc>
          <w:tcPr>
            <w:tcW w:w="7242" w:type="dxa"/>
            <w:vAlign w:val="center"/>
          </w:tcPr>
          <w:p w14:paraId="15C3636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Neattiecas</w:t>
            </w:r>
          </w:p>
        </w:tc>
      </w:tr>
      <w:tr w:rsidR="00C85971" w:rsidRPr="007F4CC8" w14:paraId="12FC8CC2" w14:textId="77777777" w:rsidTr="00D819DE">
        <w:tc>
          <w:tcPr>
            <w:tcW w:w="1172" w:type="dxa"/>
            <w:vAlign w:val="center"/>
          </w:tcPr>
          <w:p w14:paraId="30B7479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72.</w:t>
            </w:r>
          </w:p>
        </w:tc>
        <w:tc>
          <w:tcPr>
            <w:tcW w:w="7242" w:type="dxa"/>
            <w:vAlign w:val="center"/>
          </w:tcPr>
          <w:p w14:paraId="024154B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Tiešās un netiešās līdzdalības tādu finanšu sektora sabiedrību pašu kapitālā un atbilstīgajās saistībās, kurās iestādei nav būtiska ieguldījuma (summa nepārsniedz 10 % slieksni, un ir atskaitītas atbilstošās īsās pozīcijas)</w:t>
            </w:r>
          </w:p>
          <w:p w14:paraId="1F5B774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Tiešās un netiešās līdzdalības tādu finanšu sektora sabiedrību pašu kapitālā un atbilstīgajās saistībās, kurās iestādei nav būtiska ieguldījuma (summa nepārsniedz 10 % slieksni, un ir atskaitītas atbilstošās īsās pozīcijas) saskaņā ar </w:t>
            </w:r>
            <w:r>
              <w:rPr>
                <w:rFonts w:ascii="Times New Roman" w:hAnsi="Times New Roman"/>
                <w:i/>
                <w:sz w:val="24"/>
              </w:rPr>
              <w:t>CRR</w:t>
            </w:r>
            <w:r>
              <w:rPr>
                <w:rFonts w:ascii="Times New Roman" w:hAnsi="Times New Roman"/>
                <w:sz w:val="24"/>
              </w:rPr>
              <w:t xml:space="preserve"> 36. panta 1. punkta h) apakšpunktu un 45., 46. pantu, 56. panta c) punktu, 59., 60. pantu, 66. panta c) punktu, 69., 70. un 72.i pantu </w:t>
            </w:r>
          </w:p>
        </w:tc>
      </w:tr>
      <w:tr w:rsidR="00C85971" w:rsidRPr="007F4CC8" w14:paraId="3D93F4C7" w14:textId="77777777" w:rsidTr="00D819DE">
        <w:tc>
          <w:tcPr>
            <w:tcW w:w="1172" w:type="dxa"/>
            <w:vAlign w:val="center"/>
          </w:tcPr>
          <w:p w14:paraId="7DB0B96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73.</w:t>
            </w:r>
          </w:p>
        </w:tc>
        <w:tc>
          <w:tcPr>
            <w:tcW w:w="7242" w:type="dxa"/>
            <w:vAlign w:val="center"/>
          </w:tcPr>
          <w:p w14:paraId="7FC596D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Iestādes tiešās un netiešās līdzdalības tādu finanšu sektora sabiedrību pirmā līmeņa pamata kapitāla instrumentos, kurās iestādei ir būtisks ieguldījums (summa nepārsniedz 17,65 % slieksni, un ir atskaitītas atbilstošās īsās pozīcijas)</w:t>
            </w:r>
          </w:p>
          <w:p w14:paraId="5A3851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Iestādes tiešās un netiešās līdzdalības tādu finanšu sektora sabiedrību pirmā līmeņa pamata kapitāla instrumentos, kurās iestādei ir būtisks ieguldījums (summa nepārsniedz 17,65 % slieksni, un ir atskaitītas atbilstošās īsās pozīcijas) saskaņā ar </w:t>
            </w:r>
            <w:r>
              <w:rPr>
                <w:rFonts w:ascii="Times New Roman" w:hAnsi="Times New Roman"/>
                <w:i/>
                <w:sz w:val="24"/>
              </w:rPr>
              <w:t>CRR</w:t>
            </w:r>
            <w:r>
              <w:rPr>
                <w:rFonts w:ascii="Times New Roman" w:hAnsi="Times New Roman"/>
                <w:sz w:val="24"/>
              </w:rPr>
              <w:t xml:space="preserve"> 36. panta 1. punkta i) apakšpunktu, 43., 45., 47. pantu, 48. panta 1. punkta b) apakšpunktu un 49. panta 1.–3. punktu (šādu ieguldījumu kopējā summa, kas nav atklāta šīs veidnes 19. un 23. rindā)</w:t>
            </w:r>
          </w:p>
        </w:tc>
      </w:tr>
      <w:tr w:rsidR="00C85971" w:rsidRPr="007F4CC8" w14:paraId="0FB93112" w14:textId="77777777" w:rsidTr="00D819DE">
        <w:tc>
          <w:tcPr>
            <w:tcW w:w="1172" w:type="dxa"/>
            <w:vAlign w:val="center"/>
          </w:tcPr>
          <w:p w14:paraId="70224F2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74.</w:t>
            </w:r>
          </w:p>
        </w:tc>
        <w:tc>
          <w:tcPr>
            <w:tcW w:w="7242" w:type="dxa"/>
            <w:vAlign w:val="center"/>
          </w:tcPr>
          <w:p w14:paraId="6F439B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Neattiecas</w:t>
            </w:r>
          </w:p>
        </w:tc>
      </w:tr>
      <w:tr w:rsidR="00C85971" w:rsidRPr="007F4CC8" w14:paraId="03D1E122" w14:textId="77777777" w:rsidTr="00D819DE">
        <w:tc>
          <w:tcPr>
            <w:tcW w:w="1172" w:type="dxa"/>
            <w:vAlign w:val="center"/>
          </w:tcPr>
          <w:p w14:paraId="4E9C299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75.</w:t>
            </w:r>
          </w:p>
        </w:tc>
        <w:tc>
          <w:tcPr>
            <w:tcW w:w="7242" w:type="dxa"/>
            <w:vAlign w:val="center"/>
          </w:tcPr>
          <w:p w14:paraId="57F3C2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Atliktā nodokļa aktīvi, kas izriet no laika noviržu izraisītas pagaidu starpības (summa nepārsniedz 17,65 % slieksni, atskaitot attiecīgās nodokļu saistības, ja ir izpildīti </w:t>
            </w:r>
            <w:r>
              <w:rPr>
                <w:rFonts w:ascii="Times New Roman" w:hAnsi="Times New Roman"/>
                <w:i/>
                <w:sz w:val="24"/>
              </w:rPr>
              <w:t>CRR</w:t>
            </w:r>
            <w:r>
              <w:rPr>
                <w:rFonts w:ascii="Times New Roman" w:hAnsi="Times New Roman"/>
                <w:sz w:val="24"/>
              </w:rPr>
              <w:t xml:space="preserve"> 38. panta 3. punkta nosacījumi)</w:t>
            </w:r>
          </w:p>
          <w:p w14:paraId="3D7670C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Atliktā nodokļa aktīvi, kas izriet no laika noviržu izraisītas pagaidu starpības (summa nepārsniedz 17,65 % slieksni saskaņā ar </w:t>
            </w:r>
            <w:r>
              <w:rPr>
                <w:rFonts w:ascii="Times New Roman" w:hAnsi="Times New Roman"/>
                <w:i/>
                <w:sz w:val="24"/>
              </w:rPr>
              <w:t>CRR</w:t>
            </w:r>
            <w:r>
              <w:rPr>
                <w:rFonts w:ascii="Times New Roman" w:hAnsi="Times New Roman"/>
                <w:sz w:val="24"/>
              </w:rPr>
              <w:t xml:space="preserve"> 48. panta 2. punkta b) apakšpunktu, atskaitot attiecīgās nodokļu saistības, ja ir izpildīti </w:t>
            </w:r>
            <w:r>
              <w:rPr>
                <w:rFonts w:ascii="Times New Roman" w:hAnsi="Times New Roman"/>
                <w:i/>
                <w:sz w:val="24"/>
              </w:rPr>
              <w:t>CRR</w:t>
            </w:r>
            <w:r>
              <w:rPr>
                <w:rFonts w:ascii="Times New Roman" w:hAnsi="Times New Roman"/>
                <w:sz w:val="24"/>
              </w:rPr>
              <w:t xml:space="preserve"> 38. panta 3. punkta nosacījumi) saskaņā ar </w:t>
            </w:r>
            <w:r>
              <w:rPr>
                <w:rFonts w:ascii="Times New Roman" w:hAnsi="Times New Roman"/>
                <w:i/>
                <w:sz w:val="24"/>
              </w:rPr>
              <w:t>CRR</w:t>
            </w:r>
            <w:r>
              <w:rPr>
                <w:rFonts w:ascii="Times New Roman" w:hAnsi="Times New Roman"/>
                <w:sz w:val="24"/>
              </w:rPr>
              <w:t xml:space="preserve"> 36. panta 1. punkta c) apakšpunktu un 38. un 48. pantu (šādu atliktā nodokļa aktīvu kopējā summa, kas nav atklāta šīs veidnes 21. un 25. rindā)</w:t>
            </w:r>
          </w:p>
        </w:tc>
      </w:tr>
      <w:tr w:rsidR="00C85971" w:rsidRPr="007F4CC8" w14:paraId="34C77C6D" w14:textId="77777777" w:rsidTr="00D819DE">
        <w:tc>
          <w:tcPr>
            <w:tcW w:w="1172" w:type="dxa"/>
            <w:vAlign w:val="center"/>
          </w:tcPr>
          <w:p w14:paraId="25B6907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76.</w:t>
            </w:r>
          </w:p>
        </w:tc>
        <w:tc>
          <w:tcPr>
            <w:tcW w:w="7242" w:type="dxa"/>
            <w:vAlign w:val="center"/>
          </w:tcPr>
          <w:p w14:paraId="67D1317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Kredītriska korekcijas, kas iekļautas otrā līmeņa kapitālā attiecībā uz riska darījumiem, kuriem piemēro standartizēto pieeju (pirms maksimālās robežvērtības piemērošanas)</w:t>
            </w:r>
          </w:p>
          <w:p w14:paraId="5F64B02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Kredītriska korekcijas, kas iekļautas otrā līmeņa kapitālā attiecībā uz riska darījumiem, kuriem piemēro standartizēto pieeju saskaņā ar </w:t>
            </w:r>
            <w:r>
              <w:rPr>
                <w:rFonts w:ascii="Times New Roman" w:hAnsi="Times New Roman"/>
                <w:i/>
                <w:sz w:val="24"/>
              </w:rPr>
              <w:t>CRR</w:t>
            </w:r>
            <w:r>
              <w:rPr>
                <w:rFonts w:ascii="Times New Roman" w:hAnsi="Times New Roman"/>
                <w:sz w:val="24"/>
              </w:rPr>
              <w:t xml:space="preserve"> 62. panta c) punktu</w:t>
            </w:r>
          </w:p>
        </w:tc>
      </w:tr>
      <w:tr w:rsidR="00C85971" w:rsidRPr="007F4CC8" w14:paraId="0C61B8F5" w14:textId="77777777" w:rsidTr="00D819DE">
        <w:tc>
          <w:tcPr>
            <w:tcW w:w="1172" w:type="dxa"/>
            <w:vAlign w:val="center"/>
          </w:tcPr>
          <w:p w14:paraId="63FD1F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77.</w:t>
            </w:r>
          </w:p>
        </w:tc>
        <w:tc>
          <w:tcPr>
            <w:tcW w:w="7242" w:type="dxa"/>
            <w:vAlign w:val="center"/>
          </w:tcPr>
          <w:p w14:paraId="00AAF9B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Maksimālā robežvērtība kredītriska korekciju iekļaušanai otrā līmeņa kapitālā saskaņā ar standartizēto pieeju</w:t>
            </w:r>
          </w:p>
          <w:p w14:paraId="3A3B34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lastRenderedPageBreak/>
              <w:t xml:space="preserve">Maksimālā robežvērtība kredītriska korekciju iekļaušanai otrā līmeņa kapitālā saskaņā ar standartizēto pieeju saskaņā ar </w:t>
            </w:r>
            <w:r>
              <w:rPr>
                <w:rFonts w:ascii="Times New Roman" w:hAnsi="Times New Roman"/>
                <w:i/>
                <w:sz w:val="24"/>
              </w:rPr>
              <w:t>CRR</w:t>
            </w:r>
            <w:r>
              <w:rPr>
                <w:rFonts w:ascii="Times New Roman" w:hAnsi="Times New Roman"/>
                <w:sz w:val="24"/>
              </w:rPr>
              <w:t xml:space="preserve"> 62. panta c) punktu</w:t>
            </w:r>
          </w:p>
        </w:tc>
      </w:tr>
      <w:tr w:rsidR="00C85971" w:rsidRPr="007F4CC8" w14:paraId="2AC2EB61" w14:textId="77777777" w:rsidTr="00D819DE">
        <w:tc>
          <w:tcPr>
            <w:tcW w:w="1172" w:type="dxa"/>
            <w:vAlign w:val="center"/>
          </w:tcPr>
          <w:p w14:paraId="1C014C9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78.</w:t>
            </w:r>
          </w:p>
        </w:tc>
        <w:tc>
          <w:tcPr>
            <w:tcW w:w="7242" w:type="dxa"/>
            <w:vAlign w:val="center"/>
          </w:tcPr>
          <w:p w14:paraId="78E448E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Kredītriska korekcijas, kas iekļautas otrā līmeņa kapitālā saistībā ar riska darījumiem, kuriem piemēro uz iekšējiem reitingiem balstīto pieeju (pirms maksimālās robežvērtības piemērošanas)</w:t>
            </w:r>
          </w:p>
          <w:p w14:paraId="68CD65A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Kredītriska korekcijas, kas iekļautas otrā līmeņa kapitālā saistībā ar riska darījumiem, kuriem piemēro uz iekšējiem reitingiem balstīto pieeju saskaņā ar </w:t>
            </w:r>
            <w:r>
              <w:rPr>
                <w:rFonts w:ascii="Times New Roman" w:hAnsi="Times New Roman"/>
                <w:i/>
                <w:sz w:val="24"/>
              </w:rPr>
              <w:t>CRR</w:t>
            </w:r>
            <w:r>
              <w:rPr>
                <w:rFonts w:ascii="Times New Roman" w:hAnsi="Times New Roman"/>
                <w:sz w:val="24"/>
              </w:rPr>
              <w:t xml:space="preserve"> 62. panta d) punktu</w:t>
            </w:r>
          </w:p>
        </w:tc>
      </w:tr>
      <w:tr w:rsidR="00C85971" w:rsidRPr="007F4CC8" w14:paraId="0F52C71E" w14:textId="77777777" w:rsidTr="00D819DE">
        <w:tc>
          <w:tcPr>
            <w:tcW w:w="1172" w:type="dxa"/>
            <w:vAlign w:val="center"/>
          </w:tcPr>
          <w:p w14:paraId="12CCA4E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79.</w:t>
            </w:r>
          </w:p>
        </w:tc>
        <w:tc>
          <w:tcPr>
            <w:tcW w:w="7242" w:type="dxa"/>
            <w:vAlign w:val="center"/>
          </w:tcPr>
          <w:p w14:paraId="4FE01D3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Maksimālā robežvērtība kredītriska korekciju iekļaušanai otrā līmeņa kapitālā saskaņā ar uz iekšējiem reitingiem balstīto pieeju</w:t>
            </w:r>
          </w:p>
          <w:p w14:paraId="63CECB1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Maksimālā robežvērtība kredītriska korekciju iekļaušanai otrā līmeņa kapitālā saskaņā ar uz iekšējiem reitingiem balstīto pieeju saskaņā ar </w:t>
            </w:r>
            <w:r>
              <w:rPr>
                <w:rFonts w:ascii="Times New Roman" w:hAnsi="Times New Roman"/>
                <w:i/>
                <w:sz w:val="24"/>
              </w:rPr>
              <w:t>CRR</w:t>
            </w:r>
            <w:r>
              <w:rPr>
                <w:rFonts w:ascii="Times New Roman" w:hAnsi="Times New Roman"/>
                <w:sz w:val="24"/>
              </w:rPr>
              <w:t xml:space="preserve"> 62. panta d) punktu</w:t>
            </w:r>
          </w:p>
        </w:tc>
      </w:tr>
      <w:tr w:rsidR="00C85971" w:rsidRPr="007F4CC8" w14:paraId="43D161D4" w14:textId="77777777" w:rsidTr="00D819DE">
        <w:tc>
          <w:tcPr>
            <w:tcW w:w="1172" w:type="dxa"/>
            <w:vAlign w:val="center"/>
          </w:tcPr>
          <w:p w14:paraId="75AD8A7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80.</w:t>
            </w:r>
          </w:p>
        </w:tc>
        <w:tc>
          <w:tcPr>
            <w:tcW w:w="7242" w:type="dxa"/>
            <w:vAlign w:val="center"/>
          </w:tcPr>
          <w:p w14:paraId="1DA6A6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Pašreizējā maksimālā robežvērtība attiecībā uz pirmā līmeņa pamata kapitāla instrumentiem, uz kuriem attiecas pakāpeniska izslēgšana</w:t>
            </w:r>
          </w:p>
          <w:p w14:paraId="1D5E403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Pašreizējā maksimālā robežvērtība attiecībā uz pirmā līmeņa pamata kapitāla instrumentiem, uz kuriem attiecas pakāpeniska izslēgšana saskaņā ar </w:t>
            </w:r>
            <w:r>
              <w:rPr>
                <w:rFonts w:ascii="Times New Roman" w:hAnsi="Times New Roman"/>
                <w:i/>
                <w:sz w:val="24"/>
              </w:rPr>
              <w:t>CRR</w:t>
            </w:r>
            <w:r>
              <w:rPr>
                <w:rFonts w:ascii="Times New Roman" w:hAnsi="Times New Roman"/>
                <w:sz w:val="24"/>
              </w:rPr>
              <w:t xml:space="preserve"> 484. panta 3. punktu un 486. panta 2. un 5. punktu</w:t>
            </w:r>
          </w:p>
        </w:tc>
      </w:tr>
      <w:tr w:rsidR="00C85971" w:rsidRPr="007F4CC8" w14:paraId="32F98EBB" w14:textId="77777777" w:rsidTr="00D819DE">
        <w:tc>
          <w:tcPr>
            <w:tcW w:w="1172" w:type="dxa"/>
            <w:vAlign w:val="center"/>
          </w:tcPr>
          <w:p w14:paraId="52A2ED8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81.</w:t>
            </w:r>
          </w:p>
        </w:tc>
        <w:tc>
          <w:tcPr>
            <w:tcW w:w="7242" w:type="dxa"/>
            <w:vAlign w:val="center"/>
          </w:tcPr>
          <w:p w14:paraId="4F7F93B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Summa, kas izslēgta no pirmā līmeņa pamata kapitāla maksimālās robežvērtības dēļ (maksimālās robežvērtības pārsniegums pēc dzēšanas un termiņu beigām)</w:t>
            </w:r>
          </w:p>
          <w:p w14:paraId="6C52790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Summa, kas izslēgta no pirmā līmeņa pamata kapitāla maksimālās robežvērtības dēļ (maksimālās robežvērtības pārsniegums pēc dzēšanas un termiņu beigām) saskaņā ar </w:t>
            </w:r>
            <w:r>
              <w:rPr>
                <w:rFonts w:ascii="Times New Roman" w:hAnsi="Times New Roman"/>
                <w:i/>
                <w:sz w:val="24"/>
              </w:rPr>
              <w:t>CRR</w:t>
            </w:r>
            <w:r>
              <w:rPr>
                <w:rFonts w:ascii="Times New Roman" w:hAnsi="Times New Roman"/>
                <w:sz w:val="24"/>
              </w:rPr>
              <w:t xml:space="preserve"> 484. panta 3. punktu un 486. panta 2. un 5. punktu</w:t>
            </w:r>
          </w:p>
        </w:tc>
      </w:tr>
      <w:tr w:rsidR="00C85971" w:rsidRPr="007F4CC8" w14:paraId="1618353A" w14:textId="77777777" w:rsidTr="00D819DE">
        <w:tc>
          <w:tcPr>
            <w:tcW w:w="1172" w:type="dxa"/>
            <w:vAlign w:val="center"/>
          </w:tcPr>
          <w:p w14:paraId="2AE5749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82.</w:t>
            </w:r>
          </w:p>
        </w:tc>
        <w:tc>
          <w:tcPr>
            <w:tcW w:w="7242" w:type="dxa"/>
            <w:vAlign w:val="center"/>
          </w:tcPr>
          <w:p w14:paraId="3FB600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Pašreizējā maksimālā robežvērtība attiecībā uz pirmā līmeņa papildu kapitāla instrumentiem, uz kuriem attiecas pakāpeniska izslēgšana</w:t>
            </w:r>
          </w:p>
          <w:p w14:paraId="4444951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Pašreizējā maksimālā robežvērtība attiecībā uz pirmā līmeņa papildu kapitāla instrumentiem, uz kuriem attiecas pakāpeniska izslēgšana saskaņā ar </w:t>
            </w:r>
            <w:r>
              <w:rPr>
                <w:rFonts w:ascii="Times New Roman" w:hAnsi="Times New Roman"/>
                <w:i/>
                <w:sz w:val="24"/>
              </w:rPr>
              <w:t>CRR</w:t>
            </w:r>
            <w:r>
              <w:rPr>
                <w:rFonts w:ascii="Times New Roman" w:hAnsi="Times New Roman"/>
                <w:sz w:val="24"/>
              </w:rPr>
              <w:t xml:space="preserve"> 484. panta 4. punktu un 486. panta 3. un 5. punktu</w:t>
            </w:r>
          </w:p>
        </w:tc>
      </w:tr>
      <w:tr w:rsidR="00C85971" w:rsidRPr="007F4CC8" w14:paraId="162021E2" w14:textId="77777777" w:rsidTr="00D819DE">
        <w:tc>
          <w:tcPr>
            <w:tcW w:w="1172" w:type="dxa"/>
            <w:vAlign w:val="center"/>
          </w:tcPr>
          <w:p w14:paraId="39BEA97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83.</w:t>
            </w:r>
          </w:p>
        </w:tc>
        <w:tc>
          <w:tcPr>
            <w:tcW w:w="7242" w:type="dxa"/>
            <w:vAlign w:val="center"/>
          </w:tcPr>
          <w:p w14:paraId="627736C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Summa, kas izslēgta no pirmā līmeņa papildu kapitāla maksimālās robežvērtības dēļ (maksimālās robežvērtības pārsniegums pēc dzēšanas un termiņu beigām)</w:t>
            </w:r>
          </w:p>
          <w:p w14:paraId="127E661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Summa, kas izslēgta no pirmā līmeņa papildu kapitāla maksimālās robežvērtības dēļ (maksimālās robežvērtības pārsniegums pēc dzēšanas un termiņu beigām) saskaņā ar </w:t>
            </w:r>
            <w:r>
              <w:rPr>
                <w:rFonts w:ascii="Times New Roman" w:hAnsi="Times New Roman"/>
                <w:i/>
                <w:sz w:val="24"/>
              </w:rPr>
              <w:t>CRR</w:t>
            </w:r>
            <w:r>
              <w:rPr>
                <w:rFonts w:ascii="Times New Roman" w:hAnsi="Times New Roman"/>
                <w:sz w:val="24"/>
              </w:rPr>
              <w:t xml:space="preserve"> 484. panta 4. punktu un 486. panta 3. un 5. punktu</w:t>
            </w:r>
          </w:p>
        </w:tc>
      </w:tr>
      <w:tr w:rsidR="00C85971" w:rsidRPr="007F4CC8" w14:paraId="5CD915E4" w14:textId="77777777" w:rsidTr="00D819DE">
        <w:tc>
          <w:tcPr>
            <w:tcW w:w="1172" w:type="dxa"/>
            <w:vAlign w:val="center"/>
          </w:tcPr>
          <w:p w14:paraId="69C0892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84.</w:t>
            </w:r>
          </w:p>
        </w:tc>
        <w:tc>
          <w:tcPr>
            <w:tcW w:w="7242" w:type="dxa"/>
            <w:vAlign w:val="center"/>
          </w:tcPr>
          <w:p w14:paraId="1A5B9EC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Pašreizējā maksimālā robežvērtība attiecībā uz otrā līmeņa kapitāla instrumentiem, uz kuriem attiecas pakāpeniska izslēgšana</w:t>
            </w:r>
          </w:p>
          <w:p w14:paraId="47E5FAF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Pašreizējā maksimālā robežvērtība attiecībā uz otrā līmeņa kapitāla instrumentiem, uz kuriem attiecas pakāpeniska izslēgšana saskaņā ar </w:t>
            </w:r>
            <w:r>
              <w:rPr>
                <w:rFonts w:ascii="Times New Roman" w:hAnsi="Times New Roman"/>
                <w:i/>
                <w:sz w:val="24"/>
              </w:rPr>
              <w:t>CRR</w:t>
            </w:r>
            <w:r>
              <w:rPr>
                <w:rFonts w:ascii="Times New Roman" w:hAnsi="Times New Roman"/>
                <w:sz w:val="24"/>
              </w:rPr>
              <w:t xml:space="preserve"> 484. panta 5. punktu un 486. panta 4. un 5. punktu</w:t>
            </w:r>
          </w:p>
        </w:tc>
      </w:tr>
      <w:tr w:rsidR="00C85971" w:rsidRPr="007F4CC8" w14:paraId="5452E915" w14:textId="77777777" w:rsidTr="00D819DE">
        <w:tc>
          <w:tcPr>
            <w:tcW w:w="1172" w:type="dxa"/>
            <w:vAlign w:val="center"/>
          </w:tcPr>
          <w:p w14:paraId="0F29AEF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85.</w:t>
            </w:r>
          </w:p>
        </w:tc>
        <w:tc>
          <w:tcPr>
            <w:tcW w:w="7242" w:type="dxa"/>
            <w:vAlign w:val="center"/>
          </w:tcPr>
          <w:p w14:paraId="4D29D2C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Summa, kas izslēgta no otrā līmeņa kapitāla maksimālās robežvērtības dēļ (maksimālās robežvērtības pārsniegums pēc dzēšanas un termiņu beigām)</w:t>
            </w:r>
          </w:p>
          <w:p w14:paraId="5887299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Summa, kas izslēgta no otrā līmeņa kapitāla maksimālās robežvērtības dēļ (maksimālās robežvērtības pārsniegums pēc dzēšanas un termiņiem) saskaņā ar </w:t>
            </w:r>
            <w:r>
              <w:rPr>
                <w:rFonts w:ascii="Times New Roman" w:hAnsi="Times New Roman"/>
                <w:i/>
                <w:sz w:val="24"/>
              </w:rPr>
              <w:t>CRR</w:t>
            </w:r>
            <w:r>
              <w:rPr>
                <w:rFonts w:ascii="Times New Roman" w:hAnsi="Times New Roman"/>
                <w:sz w:val="24"/>
              </w:rPr>
              <w:t xml:space="preserve"> 484. panta 5. punktu un 486. panta 4. un 5. punktu</w:t>
            </w:r>
          </w:p>
        </w:tc>
      </w:tr>
    </w:tbl>
    <w:p w14:paraId="0BC4AE10" w14:textId="77777777" w:rsidR="00C85971" w:rsidRPr="007F4CC8" w:rsidRDefault="00C85971" w:rsidP="00C85971">
      <w:pPr>
        <w:jc w:val="both"/>
        <w:rPr>
          <w:rFonts w:ascii="Times New Roman" w:hAnsi="Times New Roman" w:cs="Times New Roman"/>
          <w:bCs/>
          <w:sz w:val="24"/>
        </w:rPr>
      </w:pPr>
    </w:p>
    <w:p w14:paraId="135650B7" w14:textId="77777777" w:rsidR="00C85971" w:rsidRPr="007F4CC8" w:rsidRDefault="00C85971" w:rsidP="00C85971">
      <w:pPr>
        <w:rPr>
          <w:rFonts w:ascii="Times New Roman" w:hAnsi="Times New Roman" w:cs="Times New Roman"/>
          <w:sz w:val="24"/>
        </w:rPr>
      </w:pPr>
    </w:p>
    <w:p w14:paraId="71633918" w14:textId="77777777" w:rsidR="00C85971" w:rsidRPr="007F4CC8" w:rsidRDefault="00C85971" w:rsidP="00C85971">
      <w:pPr>
        <w:rPr>
          <w:rFonts w:ascii="Times New Roman" w:hAnsi="Times New Roman" w:cs="Times New Roman"/>
          <w:sz w:val="24"/>
        </w:rPr>
      </w:pPr>
      <w:r>
        <w:br w:type="page"/>
      </w:r>
    </w:p>
    <w:p w14:paraId="06924BE7" w14:textId="77777777" w:rsidR="00C85971" w:rsidRPr="007F4CC8" w:rsidRDefault="00C85971" w:rsidP="00C85971">
      <w:pPr>
        <w:rPr>
          <w:rFonts w:ascii="Times New Roman" w:hAnsi="Times New Roman" w:cs="Times New Roman"/>
          <w:b/>
          <w:bCs/>
          <w:sz w:val="24"/>
        </w:rPr>
      </w:pPr>
      <w:r>
        <w:rPr>
          <w:rFonts w:ascii="Times New Roman" w:hAnsi="Times New Roman"/>
          <w:b/>
          <w:sz w:val="24"/>
        </w:rPr>
        <w:lastRenderedPageBreak/>
        <w:t>Veidne EU CC2 – Regulatīvajām prasībām atbilstošā pašu kapitāla saskaņošana ar revidēto finanšu pārskatu bilanci</w:t>
      </w:r>
    </w:p>
    <w:p w14:paraId="35768BE6" w14:textId="77777777" w:rsidR="00C85971" w:rsidRPr="007F4CC8" w:rsidRDefault="00C85971" w:rsidP="00C85971">
      <w:pPr>
        <w:rPr>
          <w:rFonts w:ascii="Times New Roman" w:hAnsi="Times New Roman" w:cs="Times New Roman"/>
          <w:b/>
          <w:sz w:val="24"/>
        </w:rPr>
      </w:pPr>
    </w:p>
    <w:p w14:paraId="1FE1CC20"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Iestādes atklāj </w:t>
      </w:r>
      <w:r>
        <w:rPr>
          <w:rFonts w:ascii="Times New Roman" w:hAnsi="Times New Roman"/>
          <w:i/>
          <w:color w:val="000000"/>
          <w:sz w:val="24"/>
        </w:rPr>
        <w:t>CRR</w:t>
      </w:r>
      <w:r>
        <w:rPr>
          <w:rFonts w:ascii="Times New Roman" w:hAnsi="Times New Roman"/>
          <w:sz w:val="24"/>
        </w:rPr>
        <w:t xml:space="preserve"> 437. panta a) punktā minēto informāciju, ievērojot šajā pielikumā sniegtos norādījumus, lai aizpildītu šīs īstenošanas regulas VII pielikumā ietverto veidni EU CC2.</w:t>
      </w:r>
    </w:p>
    <w:p w14:paraId="3460ABBC"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Iestādes atklāj to publicētajos finanšu pārskatos iekļautās bilances informāciju. Finanšu pārskati ir revidētie finanšu pārskati, kuros atklāta informācija par laikposmu līdz gada beigām.</w:t>
      </w:r>
    </w:p>
    <w:p w14:paraId="7BA92967" w14:textId="7BDCE041"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Veidnes rindas ir elastīgas, un iestādes informāciju tajās atklāj atbilstoši saviem finanšu pārskatiem. Revidēto finanšu pārskatu pašu kapitāla posteņos iekļauj visus posteņus, kas ir pašu kapitāla komponenti vai ko atskaita no regulatīvajām prasībām atbilstošā pašu kapitāla, tajā skaitā kapitāla vērtspapīrus, saistības, piemēram, parāda saistības, vai citas bilances pozīcijas, kas ietekmē regul</w:t>
      </w:r>
      <w:r w:rsidR="002E4F63">
        <w:rPr>
          <w:rFonts w:ascii="Times New Roman" w:hAnsi="Times New Roman"/>
          <w:sz w:val="24"/>
        </w:rPr>
        <w:t>a</w:t>
      </w:r>
      <w:r>
        <w:rPr>
          <w:rFonts w:ascii="Times New Roman" w:hAnsi="Times New Roman"/>
          <w:sz w:val="24"/>
        </w:rPr>
        <w:t>tīvajām prasībām atbilstošo pašu kapitālu, piemēram, nemateriālie aktīvi, nemateriālā vērtība, atliktā nodokļa aktīvi. Iestādes pēc vajadzības izvērš bilances pašu kapitāla posteņus, lai nodrošinātu, ka visi komponenti, kas iekļauti pašu kapitāla struktūras informācijas atklāšanas veidnē (veidne EU CC1), tiek norādīti atsevišķi. Iestādes izvērš bilances elementus tikai tādā granularitātes līmenī, kāds vajadzīgs, lai iegūtu komponentus, kuri vajadzīgi veidnei EU CC1. Informācijas atklāšana ir proporcionāla iestādes bilances sarežģītībai.</w:t>
      </w:r>
    </w:p>
    <w:p w14:paraId="23A65A04"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Ailes ir fiksētas, un informāciju tajās atklāj šādi:</w:t>
      </w:r>
    </w:p>
    <w:p w14:paraId="3FD82033"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a aile – iestādes iekļauj skaitļus, kas paziņoti to bilancē, kura iekļauta to publicētajos finanšu pārskatos saskaņā ar grāmatvedības konsolidācijas tvērumu;</w:t>
      </w:r>
    </w:p>
    <w:p w14:paraId="615808B6"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 xml:space="preserve">b aile – iestādes atklāj skaitļus, kas atbilst </w:t>
      </w:r>
      <w:proofErr w:type="spellStart"/>
      <w:r>
        <w:rPr>
          <w:rFonts w:ascii="Times New Roman" w:hAnsi="Times New Roman"/>
          <w:sz w:val="24"/>
        </w:rPr>
        <w:t>prudenciālās</w:t>
      </w:r>
      <w:proofErr w:type="spellEnd"/>
      <w:r>
        <w:rPr>
          <w:rFonts w:ascii="Times New Roman" w:hAnsi="Times New Roman"/>
          <w:sz w:val="24"/>
        </w:rPr>
        <w:t xml:space="preserve"> konsolidācijas tvērumam;</w:t>
      </w:r>
    </w:p>
    <w:p w14:paraId="09531333"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c aile – iestādes atklāj mijnorādi starp pašu kapitāla posteni veidnē EU CC2 un attiecīgajiem posteņiem pašu kapitāla informācijas atklāšanas veidnē EU CC1. Atsauce veidnes EU CC2 c ailē būs saistīta ar atsauci, kas ietverta veidnes EU CC1 b ailē.</w:t>
      </w:r>
    </w:p>
    <w:p w14:paraId="5314404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 Ja iestāžu grāmatvedības konsolidācijas tvērums un </w:t>
      </w:r>
      <w:proofErr w:type="spellStart"/>
      <w:r>
        <w:rPr>
          <w:rFonts w:ascii="Times New Roman" w:hAnsi="Times New Roman"/>
          <w:sz w:val="24"/>
        </w:rPr>
        <w:t>prudenciālās</w:t>
      </w:r>
      <w:proofErr w:type="spellEnd"/>
      <w:r>
        <w:rPr>
          <w:rFonts w:ascii="Times New Roman" w:hAnsi="Times New Roman"/>
          <w:sz w:val="24"/>
        </w:rPr>
        <w:t xml:space="preserve"> konsolidācijas tvērums ir vienādi, šīs veidnes a) un b) aili apvieno, un šo faktu skaidri norāda šādos gadījumos:</w:t>
      </w:r>
    </w:p>
    <w:p w14:paraId="4AF2B8D6"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bCs/>
          <w:sz w:val="24"/>
        </w:rPr>
      </w:pPr>
      <w:r>
        <w:rPr>
          <w:rFonts w:ascii="Times New Roman" w:hAnsi="Times New Roman"/>
          <w:sz w:val="24"/>
        </w:rPr>
        <w:t xml:space="preserve">ja iestādes konsolidēti vai </w:t>
      </w:r>
      <w:proofErr w:type="spellStart"/>
      <w:r>
        <w:rPr>
          <w:rFonts w:ascii="Times New Roman" w:hAnsi="Times New Roman"/>
          <w:sz w:val="24"/>
        </w:rPr>
        <w:t>subkonsolidēti</w:t>
      </w:r>
      <w:proofErr w:type="spellEnd"/>
      <w:r>
        <w:rPr>
          <w:rFonts w:ascii="Times New Roman" w:hAnsi="Times New Roman"/>
          <w:sz w:val="24"/>
        </w:rPr>
        <w:t xml:space="preserve"> pilda </w:t>
      </w:r>
      <w:r>
        <w:rPr>
          <w:rFonts w:ascii="Times New Roman" w:hAnsi="Times New Roman"/>
          <w:i/>
          <w:sz w:val="24"/>
        </w:rPr>
        <w:t>CRR</w:t>
      </w:r>
      <w:r>
        <w:rPr>
          <w:rFonts w:ascii="Times New Roman" w:hAnsi="Times New Roman"/>
          <w:sz w:val="24"/>
        </w:rPr>
        <w:t xml:space="preserve"> astotajā daļā noteiktās saistības, bet konsolidācijas tvērums vai konsolidācijas metode, ko izmanto finanšu pārskatos iekļautajā bilancē, ir identiska ar konsolidācijas tvērumu vai konsolidācijas metodi, kas definēta saskaņā ar </w:t>
      </w:r>
      <w:r>
        <w:rPr>
          <w:rFonts w:ascii="Times New Roman" w:hAnsi="Times New Roman"/>
          <w:i/>
          <w:sz w:val="24"/>
        </w:rPr>
        <w:t>CRR</w:t>
      </w:r>
      <w:r>
        <w:rPr>
          <w:rFonts w:ascii="Times New Roman" w:hAnsi="Times New Roman"/>
          <w:sz w:val="24"/>
        </w:rPr>
        <w:t xml:space="preserve"> pirmās daļas II sadaļas 2. nodaļu, un iestādes skaidri norāda, ka starp attiecīgajiem tvērumiem un konsolidācijas metodēm nav atšķirību;</w:t>
      </w:r>
    </w:p>
    <w:p w14:paraId="5CA9C9CD" w14:textId="77777777" w:rsidR="00C85971" w:rsidRPr="007F4CC8" w:rsidRDefault="00C85971" w:rsidP="00C85971">
      <w:pPr>
        <w:ind w:left="426"/>
        <w:jc w:val="both"/>
        <w:rPr>
          <w:rFonts w:ascii="Times New Roman" w:hAnsi="Times New Roman" w:cs="Times New Roman"/>
          <w:bCs/>
          <w:sz w:val="24"/>
        </w:rPr>
      </w:pPr>
    </w:p>
    <w:p w14:paraId="78AF9210"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bCs/>
          <w:sz w:val="24"/>
        </w:rPr>
      </w:pPr>
      <w:r>
        <w:rPr>
          <w:rFonts w:ascii="Times New Roman" w:hAnsi="Times New Roman"/>
          <w:sz w:val="24"/>
        </w:rPr>
        <w:t xml:space="preserve">ja iestādes individuāli pilda </w:t>
      </w:r>
      <w:r>
        <w:rPr>
          <w:rFonts w:ascii="Times New Roman" w:hAnsi="Times New Roman"/>
          <w:i/>
          <w:sz w:val="24"/>
        </w:rPr>
        <w:t>CRR</w:t>
      </w:r>
      <w:r>
        <w:rPr>
          <w:rFonts w:ascii="Times New Roman" w:hAnsi="Times New Roman"/>
          <w:sz w:val="24"/>
        </w:rPr>
        <w:t xml:space="preserve"> astotajā daļā noteiktās saistības.</w:t>
      </w:r>
    </w:p>
    <w:p w14:paraId="028372CB" w14:textId="77777777" w:rsidR="00C85971" w:rsidRPr="007F4CC8" w:rsidRDefault="00C85971" w:rsidP="00C85971">
      <w:pPr>
        <w:pStyle w:val="ListParagraph"/>
        <w:rPr>
          <w:rFonts w:ascii="Times New Roman" w:hAnsi="Times New Roman"/>
          <w:bCs/>
          <w:sz w:val="24"/>
          <w:szCs w:val="24"/>
        </w:rPr>
      </w:pPr>
    </w:p>
    <w:p w14:paraId="07D77658" w14:textId="77777777" w:rsidR="00C85971" w:rsidRPr="007F4CC8" w:rsidRDefault="00C85971" w:rsidP="00C85971">
      <w:pPr>
        <w:rPr>
          <w:rFonts w:ascii="Times New Roman" w:hAnsi="Times New Roman" w:cs="Times New Roman"/>
          <w:b/>
          <w:bCs/>
          <w:sz w:val="24"/>
        </w:rPr>
      </w:pPr>
      <w:r>
        <w:rPr>
          <w:rFonts w:ascii="Times New Roman" w:hAnsi="Times New Roman"/>
          <w:b/>
          <w:sz w:val="24"/>
        </w:rPr>
        <w:lastRenderedPageBreak/>
        <w:t>Tabula EU CCA – Regulatīvajām prasībām atbilstošā pašu kapitāla instrumentu un atbilstīgo saistību instrumentu galvenās iezīmes</w:t>
      </w:r>
    </w:p>
    <w:p w14:paraId="6FE3C1F8" w14:textId="77777777" w:rsidR="00C85971" w:rsidRPr="007F4CC8" w:rsidRDefault="00C85971" w:rsidP="00C85971">
      <w:pPr>
        <w:rPr>
          <w:rFonts w:ascii="Times New Roman" w:hAnsi="Times New Roman" w:cs="Times New Roman"/>
          <w:b/>
          <w:bCs/>
          <w:sz w:val="24"/>
        </w:rPr>
      </w:pPr>
    </w:p>
    <w:p w14:paraId="0F953A2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Iestādes atklāj </w:t>
      </w:r>
      <w:r>
        <w:rPr>
          <w:rFonts w:ascii="Times New Roman" w:hAnsi="Times New Roman"/>
          <w:i/>
          <w:color w:val="000000"/>
          <w:sz w:val="24"/>
        </w:rPr>
        <w:t>CRR</w:t>
      </w:r>
      <w:r>
        <w:rPr>
          <w:rFonts w:ascii="Times New Roman" w:hAnsi="Times New Roman"/>
          <w:sz w:val="24"/>
        </w:rPr>
        <w:t xml:space="preserve"> 437. panta b) un c) punktā minēto informāciju, ievērojot šajā pielikumā sniegtos norādījumus, lai aizpildītu šīs īstenošanas regulas VII pielikumā ietverto tabulu EU CCA.</w:t>
      </w:r>
    </w:p>
    <w:p w14:paraId="6AE59B0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Iestādes aizpilda tabulu EU CCA attiecībā uz šādām kategorijām: pirmā līmeņa pamata kapitāla instrumenti, pirmā līmeņa papildu kapitāla instrumenti, otrā līmeņa kapitāla instrumenti un – </w:t>
      </w:r>
      <w:r>
        <w:rPr>
          <w:rFonts w:ascii="Times New Roman" w:hAnsi="Times New Roman"/>
          <w:i/>
          <w:sz w:val="24"/>
        </w:rPr>
        <w:t>CRR</w:t>
      </w:r>
      <w:r>
        <w:rPr>
          <w:rFonts w:ascii="Times New Roman" w:hAnsi="Times New Roman"/>
          <w:sz w:val="24"/>
        </w:rPr>
        <w:t xml:space="preserve"> 72.b panta nozīmē – atbilstīgo saistību instrumenti.</w:t>
      </w:r>
    </w:p>
    <w:p w14:paraId="057A1F3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Tabulās ir ietvertas atsevišķas ailes ar katra regulatīvajām prasībām atbilstošā kapitāla instrumenta un atbilstīgo saistību instrumenta iezīmēm. Ja vienas kategorijas dažādiem kapitāla instrumentiem ir identiskas iezīmes, iestādes var aizpildīt tikai vienu aili, atspoguļojot šīs identiskās iezīmes un uzrādot emisijas, uz kurām identiskās iezīmes attiecas. Atklājot informāciju ailēs par šiem instrumentiem, iestādes tos sagrupē trīs sadaļās (tabulā horizontāli), lai norādītu, vai tie ir paredzēti, lai izpildītu i) tikai pašu kapitāla (bet ne atbilstīgo saistību) prasības, ii) gan pašu kapitāla, gan atbilstīgo saistību prasības, vai iii) tikai atbilstīgo saistību (bet ne pašu kapitāla) prasības.</w:t>
      </w:r>
      <w:r>
        <w:rPr>
          <w:rFonts w:ascii="Times New Roman" w:hAnsi="Times New Roman"/>
          <w:sz w:val="24"/>
        </w:rPr>
        <w:tab/>
      </w:r>
    </w:p>
    <w:p w14:paraId="390D0EA6"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Attiecībā uz atbilstīgo saistību instrumentiem, kas nav pakārtoti izslēgtajām saistībām, iestādes atklāj informāciju tikai par vērtspapīriem, kas ir aizstājami, apgrozāmi finanšu instrumenti, izslēdzot aizdevumus un noguldījumus.</w:t>
      </w:r>
    </w:p>
    <w:p w14:paraId="44F7C594" w14:textId="77777777" w:rsidR="00C85971" w:rsidRPr="007F4CC8" w:rsidRDefault="00C85971" w:rsidP="00C85971">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C85971" w:rsidRPr="007F4CC8" w14:paraId="38E4F858" w14:textId="77777777" w:rsidTr="00D819DE">
        <w:trPr>
          <w:trHeight w:val="259"/>
        </w:trPr>
        <w:tc>
          <w:tcPr>
            <w:tcW w:w="8691" w:type="dxa"/>
            <w:gridSpan w:val="2"/>
            <w:shd w:val="clear" w:color="auto" w:fill="D9D9D9" w:themeFill="background1" w:themeFillShade="D9"/>
          </w:tcPr>
          <w:p w14:paraId="70639F58"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Norādījumi regulatīvajām prasībām atbilstošā pašu kapitāla un atbilstīgo saistību instrumentu galveno iezīmju tabulas aizpildīšanai</w:t>
            </w:r>
          </w:p>
        </w:tc>
      </w:tr>
      <w:tr w:rsidR="00C85971" w:rsidRPr="007F4CC8" w14:paraId="3175F974" w14:textId="77777777" w:rsidTr="00D819DE">
        <w:trPr>
          <w:trHeight w:val="259"/>
        </w:trPr>
        <w:tc>
          <w:tcPr>
            <w:tcW w:w="1030" w:type="dxa"/>
            <w:shd w:val="clear" w:color="auto" w:fill="D9D9D9" w:themeFill="background1" w:themeFillShade="D9"/>
            <w:vAlign w:val="center"/>
          </w:tcPr>
          <w:p w14:paraId="431807BC"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Rindas numurs</w:t>
            </w:r>
          </w:p>
        </w:tc>
        <w:tc>
          <w:tcPr>
            <w:tcW w:w="7661" w:type="dxa"/>
            <w:shd w:val="clear" w:color="auto" w:fill="D9D9D9" w:themeFill="background1" w:themeFillShade="D9"/>
            <w:noWrap/>
            <w:vAlign w:val="bottom"/>
          </w:tcPr>
          <w:p w14:paraId="0BED80E1"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Paskaidrojums</w:t>
            </w:r>
          </w:p>
        </w:tc>
      </w:tr>
      <w:tr w:rsidR="00C85971" w:rsidRPr="007F4CC8" w14:paraId="528AC325" w14:textId="77777777" w:rsidTr="00D819DE">
        <w:trPr>
          <w:trHeight w:val="259"/>
        </w:trPr>
        <w:tc>
          <w:tcPr>
            <w:tcW w:w="1030" w:type="dxa"/>
            <w:vAlign w:val="center"/>
          </w:tcPr>
          <w:p w14:paraId="15EF961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w:t>
            </w:r>
          </w:p>
        </w:tc>
        <w:tc>
          <w:tcPr>
            <w:tcW w:w="7661" w:type="dxa"/>
            <w:shd w:val="clear" w:color="auto" w:fill="auto"/>
            <w:noWrap/>
            <w:vAlign w:val="bottom"/>
          </w:tcPr>
          <w:p w14:paraId="235D6D4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Emitents</w:t>
            </w:r>
          </w:p>
          <w:p w14:paraId="5236523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Iestādes norāda emitenta juridisko nosaukumu.</w:t>
            </w:r>
          </w:p>
          <w:p w14:paraId="08FC4FB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Teksts brīvā formā</w:t>
            </w:r>
          </w:p>
        </w:tc>
      </w:tr>
      <w:tr w:rsidR="00C85971" w:rsidRPr="007F4CC8" w14:paraId="391998EF" w14:textId="77777777" w:rsidTr="00D819DE">
        <w:trPr>
          <w:trHeight w:val="259"/>
        </w:trPr>
        <w:tc>
          <w:tcPr>
            <w:tcW w:w="1030" w:type="dxa"/>
            <w:vAlign w:val="center"/>
          </w:tcPr>
          <w:p w14:paraId="306D4DF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w:t>
            </w:r>
          </w:p>
        </w:tc>
        <w:tc>
          <w:tcPr>
            <w:tcW w:w="7661" w:type="dxa"/>
            <w:shd w:val="clear" w:color="auto" w:fill="auto"/>
            <w:noWrap/>
            <w:vAlign w:val="bottom"/>
          </w:tcPr>
          <w:p w14:paraId="6C54C94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Unikālais identifikators (piemēram, </w:t>
            </w:r>
            <w:r>
              <w:rPr>
                <w:rFonts w:ascii="Times New Roman" w:hAnsi="Times New Roman"/>
                <w:i/>
                <w:sz w:val="24"/>
              </w:rPr>
              <w:t>CUSIP</w:t>
            </w:r>
            <w:r>
              <w:rPr>
                <w:rFonts w:ascii="Times New Roman" w:hAnsi="Times New Roman"/>
                <w:sz w:val="24"/>
              </w:rPr>
              <w:t xml:space="preserve">, </w:t>
            </w:r>
            <w:r>
              <w:rPr>
                <w:rFonts w:ascii="Times New Roman" w:hAnsi="Times New Roman"/>
                <w:i/>
                <w:sz w:val="24"/>
              </w:rPr>
              <w:t>ISIN</w:t>
            </w:r>
            <w:r>
              <w:rPr>
                <w:rFonts w:ascii="Times New Roman" w:hAnsi="Times New Roman"/>
                <w:sz w:val="24"/>
              </w:rPr>
              <w:t xml:space="preserve"> vai </w:t>
            </w:r>
            <w:proofErr w:type="spellStart"/>
            <w:r>
              <w:rPr>
                <w:rFonts w:ascii="Times New Roman" w:hAnsi="Times New Roman"/>
                <w:i/>
                <w:sz w:val="24"/>
              </w:rPr>
              <w:t>Bloomberg</w:t>
            </w:r>
            <w:proofErr w:type="spellEnd"/>
            <w:r>
              <w:rPr>
                <w:rFonts w:ascii="Times New Roman" w:hAnsi="Times New Roman"/>
                <w:sz w:val="24"/>
              </w:rPr>
              <w:t xml:space="preserve"> identifikators privātam izvietojumam)</w:t>
            </w:r>
          </w:p>
          <w:p w14:paraId="0BBBA79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Teksts brīvā formā</w:t>
            </w:r>
          </w:p>
        </w:tc>
      </w:tr>
      <w:tr w:rsidR="00C85971" w:rsidRPr="007F4CC8" w14:paraId="78AC88E5" w14:textId="77777777" w:rsidTr="00D819DE">
        <w:trPr>
          <w:trHeight w:val="259"/>
        </w:trPr>
        <w:tc>
          <w:tcPr>
            <w:tcW w:w="1030" w:type="dxa"/>
            <w:vAlign w:val="center"/>
          </w:tcPr>
          <w:p w14:paraId="260CE86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EU-2.a</w:t>
            </w:r>
          </w:p>
        </w:tc>
        <w:tc>
          <w:tcPr>
            <w:tcW w:w="7661" w:type="dxa"/>
            <w:shd w:val="clear" w:color="auto" w:fill="auto"/>
            <w:noWrap/>
            <w:vAlign w:val="bottom"/>
          </w:tcPr>
          <w:p w14:paraId="583DBB78"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Publiska vai privāta izvietošana</w:t>
            </w:r>
          </w:p>
          <w:p w14:paraId="534DDFE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Iestādes precizē, vai instruments izvietots publiski vai privāti.</w:t>
            </w:r>
          </w:p>
          <w:p w14:paraId="6D94988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Atlasīt no izvēlnes: [Publiska] [Privāta]</w:t>
            </w:r>
          </w:p>
        </w:tc>
      </w:tr>
      <w:tr w:rsidR="00C85971" w:rsidRPr="007F4CC8" w14:paraId="4C34C27E" w14:textId="77777777" w:rsidTr="00D819DE">
        <w:trPr>
          <w:trHeight w:val="259"/>
        </w:trPr>
        <w:tc>
          <w:tcPr>
            <w:tcW w:w="1030" w:type="dxa"/>
            <w:vAlign w:val="center"/>
          </w:tcPr>
          <w:p w14:paraId="0E0CC430"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w:t>
            </w:r>
          </w:p>
        </w:tc>
        <w:tc>
          <w:tcPr>
            <w:tcW w:w="7661" w:type="dxa"/>
            <w:shd w:val="clear" w:color="auto" w:fill="auto"/>
            <w:noWrap/>
            <w:vAlign w:val="bottom"/>
          </w:tcPr>
          <w:p w14:paraId="1ACF16D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Tiesību akts(-i), kas reglamentē instrumentu</w:t>
            </w:r>
          </w:p>
          <w:p w14:paraId="15AB1E4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Iestādes precizē tiesību aktu(-</w:t>
            </w:r>
            <w:proofErr w:type="spellStart"/>
            <w:r>
              <w:rPr>
                <w:rFonts w:ascii="Times New Roman" w:hAnsi="Times New Roman"/>
                <w:sz w:val="24"/>
              </w:rPr>
              <w:t>us</w:t>
            </w:r>
            <w:proofErr w:type="spellEnd"/>
            <w:r>
              <w:rPr>
                <w:rFonts w:ascii="Times New Roman" w:hAnsi="Times New Roman"/>
                <w:sz w:val="24"/>
              </w:rPr>
              <w:t xml:space="preserve">), kas reglamentē instrumentu. </w:t>
            </w:r>
          </w:p>
          <w:p w14:paraId="60B649A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Teksts brīvā formā </w:t>
            </w:r>
          </w:p>
        </w:tc>
      </w:tr>
      <w:tr w:rsidR="00C85971" w:rsidRPr="007F4CC8" w14:paraId="4D60C6D1" w14:textId="77777777" w:rsidTr="00D819DE">
        <w:trPr>
          <w:trHeight w:val="259"/>
        </w:trPr>
        <w:tc>
          <w:tcPr>
            <w:tcW w:w="1030" w:type="dxa"/>
            <w:vAlign w:val="center"/>
          </w:tcPr>
          <w:p w14:paraId="1F163D68"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3.a</w:t>
            </w:r>
          </w:p>
        </w:tc>
        <w:tc>
          <w:tcPr>
            <w:tcW w:w="7661" w:type="dxa"/>
            <w:shd w:val="clear" w:color="auto" w:fill="auto"/>
            <w:noWrap/>
            <w:vAlign w:val="bottom"/>
          </w:tcPr>
          <w:p w14:paraId="333E8C42"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Noregulējuma iestāžu norakstīšanas un konvertācijas pilnvaru līgumiska atzīšana</w:t>
            </w:r>
          </w:p>
          <w:p w14:paraId="019792C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Iestādes precizē, vai instruments ietver klauzulu, saskaņā ar kuru pēc noregulējuma iestādes vai attiecīgās trešās valsts iestādes lēmuma instrumenta pamatsumma ir pastāvīgi norakstāma vai instruments ir konvertējams pirmā līmeņa pamata kapitāla instrumentā šādu noteikumu nozīmē atkarībā no konkrētā gadījuma:</w:t>
            </w:r>
          </w:p>
          <w:p w14:paraId="2EE684C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 attiecībā uz pirmā līmeņa papildu kapitāla instrumentiem – </w:t>
            </w:r>
            <w:r>
              <w:rPr>
                <w:rFonts w:ascii="Times New Roman" w:hAnsi="Times New Roman"/>
                <w:i/>
                <w:sz w:val="24"/>
              </w:rPr>
              <w:t>CRR</w:t>
            </w:r>
            <w:r>
              <w:rPr>
                <w:rFonts w:ascii="Times New Roman" w:hAnsi="Times New Roman"/>
                <w:sz w:val="24"/>
              </w:rPr>
              <w:t xml:space="preserve"> 52. panta 1. punkta p) apakšpunkts,</w:t>
            </w:r>
          </w:p>
          <w:p w14:paraId="5C7FBD40"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 attiecībā uz otrā līmeņa kapitāla instrumentiem – </w:t>
            </w:r>
            <w:r>
              <w:rPr>
                <w:rFonts w:ascii="Times New Roman" w:hAnsi="Times New Roman"/>
                <w:i/>
                <w:sz w:val="24"/>
              </w:rPr>
              <w:t>CRR</w:t>
            </w:r>
            <w:r>
              <w:rPr>
                <w:rFonts w:ascii="Times New Roman" w:hAnsi="Times New Roman"/>
                <w:sz w:val="24"/>
              </w:rPr>
              <w:t xml:space="preserve"> 63. panta n) vai o) punkts,</w:t>
            </w:r>
          </w:p>
          <w:p w14:paraId="2B8C1D20"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 attiecībā uz atbilstīgajām saistībām – </w:t>
            </w:r>
            <w:r>
              <w:rPr>
                <w:rFonts w:ascii="Times New Roman" w:hAnsi="Times New Roman"/>
                <w:i/>
                <w:sz w:val="24"/>
              </w:rPr>
              <w:t>CRR</w:t>
            </w:r>
            <w:r>
              <w:rPr>
                <w:rFonts w:ascii="Times New Roman" w:hAnsi="Times New Roman"/>
                <w:sz w:val="24"/>
              </w:rPr>
              <w:t xml:space="preserve"> 72.b panta 2. punkta n) apakšpunkts,</w:t>
            </w:r>
          </w:p>
          <w:p w14:paraId="394620C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attiecībā uz jebkuru no iepriekš minētajiem, ko reglamentē trešās valsts tiesību akti, – Direktīvas (ES) 2019/879</w:t>
            </w:r>
            <w:r w:rsidRPr="007F4CC8">
              <w:rPr>
                <w:rStyle w:val="FootnoteReference"/>
                <w:rFonts w:ascii="Times New Roman" w:eastAsia="Times New Roman" w:hAnsi="Times New Roman" w:cs="Times New Roman"/>
                <w:sz w:val="24"/>
                <w:lang w:eastAsia="en-GB"/>
              </w:rPr>
              <w:footnoteReference w:id="3"/>
            </w:r>
            <w:r>
              <w:rPr>
                <w:rFonts w:ascii="Times New Roman" w:hAnsi="Times New Roman"/>
                <w:sz w:val="24"/>
              </w:rPr>
              <w:t xml:space="preserve"> (“</w:t>
            </w:r>
            <w:r>
              <w:rPr>
                <w:rFonts w:ascii="Times New Roman" w:hAnsi="Times New Roman"/>
                <w:i/>
                <w:sz w:val="24"/>
              </w:rPr>
              <w:t>BRRD</w:t>
            </w:r>
            <w:r>
              <w:rPr>
                <w:rFonts w:ascii="Times New Roman" w:hAnsi="Times New Roman"/>
                <w:sz w:val="24"/>
              </w:rPr>
              <w:t>”) 55. pants.</w:t>
            </w:r>
          </w:p>
          <w:p w14:paraId="52635491"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Norakstīšana un konvertācija var būt atbilstoša </w:t>
            </w:r>
            <w:r>
              <w:rPr>
                <w:rFonts w:ascii="Times New Roman" w:hAnsi="Times New Roman"/>
                <w:sz w:val="24"/>
              </w:rPr>
              <w:t>BRRD</w:t>
            </w:r>
            <w:r>
              <w:rPr>
                <w:rFonts w:ascii="Times New Roman" w:hAnsi="Times New Roman"/>
                <w:i/>
                <w:sz w:val="24"/>
              </w:rPr>
              <w:t xml:space="preserve"> 55. pantam un jebkuram no pirmajiem trīs ievilkumiem.</w:t>
            </w:r>
          </w:p>
          <w:p w14:paraId="47B03151"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Atlasīt no izvēlnes: [JĀ] [NĒ]</w:t>
            </w:r>
          </w:p>
        </w:tc>
      </w:tr>
      <w:tr w:rsidR="00C85971" w:rsidRPr="007F4CC8" w14:paraId="62C45590" w14:textId="77777777" w:rsidTr="00D819DE">
        <w:trPr>
          <w:trHeight w:val="259"/>
        </w:trPr>
        <w:tc>
          <w:tcPr>
            <w:tcW w:w="1030" w:type="dxa"/>
            <w:vAlign w:val="center"/>
          </w:tcPr>
          <w:p w14:paraId="14B82A54"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4.</w:t>
            </w:r>
          </w:p>
        </w:tc>
        <w:tc>
          <w:tcPr>
            <w:tcW w:w="7661" w:type="dxa"/>
            <w:shd w:val="clear" w:color="auto" w:fill="auto"/>
            <w:noWrap/>
            <w:vAlign w:val="bottom"/>
          </w:tcPr>
          <w:p w14:paraId="783C894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Pašreizējais režīms, attiecīgā gadījumā ņemot vērā </w:t>
            </w:r>
            <w:r>
              <w:rPr>
                <w:rFonts w:ascii="Times New Roman" w:hAnsi="Times New Roman"/>
                <w:i/>
                <w:sz w:val="24"/>
              </w:rPr>
              <w:t>CRR</w:t>
            </w:r>
            <w:r>
              <w:rPr>
                <w:rFonts w:ascii="Times New Roman" w:hAnsi="Times New Roman"/>
                <w:sz w:val="24"/>
              </w:rPr>
              <w:t xml:space="preserve"> pārejas noteikumus</w:t>
            </w:r>
          </w:p>
          <w:p w14:paraId="456BE59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Iestādes precizē regulatīvajām prasībām atbilstošā pašu kapitāla pārejas režīmu, kas ietverts </w:t>
            </w:r>
            <w:r>
              <w:rPr>
                <w:rFonts w:ascii="Times New Roman" w:hAnsi="Times New Roman"/>
                <w:i/>
                <w:sz w:val="24"/>
              </w:rPr>
              <w:t>CRR</w:t>
            </w:r>
            <w:r>
              <w:rPr>
                <w:rFonts w:ascii="Times New Roman" w:hAnsi="Times New Roman"/>
                <w:sz w:val="24"/>
              </w:rPr>
              <w:t xml:space="preserve">. Instrumenta sākotnējā klasifikācija ir atskaites punkts neatkarīgi no iespējamās </w:t>
            </w:r>
            <w:proofErr w:type="spellStart"/>
            <w:r>
              <w:rPr>
                <w:rFonts w:ascii="Times New Roman" w:hAnsi="Times New Roman"/>
                <w:sz w:val="24"/>
              </w:rPr>
              <w:t>pārklasifikācijas</w:t>
            </w:r>
            <w:proofErr w:type="spellEnd"/>
            <w:r>
              <w:rPr>
                <w:rFonts w:ascii="Times New Roman" w:hAnsi="Times New Roman"/>
                <w:sz w:val="24"/>
              </w:rPr>
              <w:t xml:space="preserve"> par zemāka līmeņa pašu kapitālu.</w:t>
            </w:r>
          </w:p>
          <w:p w14:paraId="5754196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Atlasīt no izvēlnes: [Pirmā līmeņa pamata kapitāls] [Pirmā līmeņa papildu kapitāls] [Otrā līmeņa kapitāls] [Neatbilstīgs] [N/A]</w:t>
            </w:r>
          </w:p>
          <w:p w14:paraId="505EE00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Teksts brīvā formā – norādīt, ja daļa no emisijas ir pārklasificēta par zemāka līmeņa kapitālu.</w:t>
            </w:r>
          </w:p>
        </w:tc>
      </w:tr>
      <w:tr w:rsidR="00C85971" w:rsidRPr="007F4CC8" w14:paraId="7273D82B" w14:textId="77777777" w:rsidTr="00D819DE">
        <w:trPr>
          <w:trHeight w:val="259"/>
        </w:trPr>
        <w:tc>
          <w:tcPr>
            <w:tcW w:w="1030" w:type="dxa"/>
            <w:vAlign w:val="center"/>
          </w:tcPr>
          <w:p w14:paraId="21134EE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5.</w:t>
            </w:r>
          </w:p>
        </w:tc>
        <w:tc>
          <w:tcPr>
            <w:tcW w:w="7661" w:type="dxa"/>
            <w:shd w:val="clear" w:color="auto" w:fill="auto"/>
            <w:noWrap/>
            <w:vAlign w:val="bottom"/>
          </w:tcPr>
          <w:p w14:paraId="7CC7BD3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CRR</w:t>
            </w:r>
            <w:r>
              <w:rPr>
                <w:rFonts w:ascii="Times New Roman" w:hAnsi="Times New Roman"/>
                <w:sz w:val="24"/>
              </w:rPr>
              <w:t xml:space="preserve"> noteikumi pēc pārejas posma</w:t>
            </w:r>
          </w:p>
          <w:p w14:paraId="15B33FD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Iestādes precizē regulatīvajām prasībām atbilstošā pašu kapitāla režīmu saskaņā ar </w:t>
            </w:r>
            <w:r>
              <w:rPr>
                <w:rFonts w:ascii="Times New Roman" w:hAnsi="Times New Roman"/>
                <w:i/>
                <w:sz w:val="24"/>
              </w:rPr>
              <w:t>CRR</w:t>
            </w:r>
            <w:r>
              <w:rPr>
                <w:rFonts w:ascii="Times New Roman" w:hAnsi="Times New Roman"/>
                <w:sz w:val="24"/>
              </w:rPr>
              <w:t xml:space="preserve">, neņemot vērā pārejas režīmu. </w:t>
            </w:r>
          </w:p>
          <w:p w14:paraId="18A44EE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Atlasīt no izvēlnes: [Pirmā līmeņa pamata kapitāls] [Pirmā līmeņa papildu kapitāls] [Otrā līmeņa kapitāls] [atbilstīgās saistības] [Neatbilstīgs]</w:t>
            </w:r>
          </w:p>
        </w:tc>
      </w:tr>
      <w:tr w:rsidR="00C85971" w:rsidRPr="007F4CC8" w14:paraId="4C5A8DCE" w14:textId="77777777" w:rsidTr="00D819DE">
        <w:trPr>
          <w:trHeight w:val="259"/>
        </w:trPr>
        <w:tc>
          <w:tcPr>
            <w:tcW w:w="1030" w:type="dxa"/>
            <w:vAlign w:val="center"/>
          </w:tcPr>
          <w:p w14:paraId="6138EB2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6.</w:t>
            </w:r>
          </w:p>
        </w:tc>
        <w:tc>
          <w:tcPr>
            <w:tcW w:w="7661" w:type="dxa"/>
            <w:shd w:val="clear" w:color="auto" w:fill="auto"/>
            <w:noWrap/>
            <w:vAlign w:val="bottom"/>
          </w:tcPr>
          <w:p w14:paraId="5FA2D31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Atbilstīgs solo / (</w:t>
            </w:r>
            <w:proofErr w:type="spellStart"/>
            <w:r>
              <w:rPr>
                <w:rFonts w:ascii="Times New Roman" w:hAnsi="Times New Roman"/>
                <w:sz w:val="24"/>
              </w:rPr>
              <w:t>sub</w:t>
            </w:r>
            <w:proofErr w:type="spellEnd"/>
            <w:r>
              <w:rPr>
                <w:rFonts w:ascii="Times New Roman" w:hAnsi="Times New Roman"/>
                <w:sz w:val="24"/>
              </w:rPr>
              <w:t>-)konsolidēti / solo un (</w:t>
            </w:r>
            <w:proofErr w:type="spellStart"/>
            <w:r>
              <w:rPr>
                <w:rFonts w:ascii="Times New Roman" w:hAnsi="Times New Roman"/>
                <w:sz w:val="24"/>
              </w:rPr>
              <w:t>sub</w:t>
            </w:r>
            <w:proofErr w:type="spellEnd"/>
            <w:r>
              <w:rPr>
                <w:rFonts w:ascii="Times New Roman" w:hAnsi="Times New Roman"/>
                <w:sz w:val="24"/>
              </w:rPr>
              <w:t>-)konsolidēti</w:t>
            </w:r>
          </w:p>
          <w:p w14:paraId="04883C7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Iestādes precizē instrumenta līmeni grupā, kurā tas iekļauts pašu kapitālā / atbilstīgajās saistībās.</w:t>
            </w:r>
          </w:p>
          <w:p w14:paraId="7983B24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Atlasīt no izvēlnes: [Solo] [(</w:t>
            </w:r>
            <w:proofErr w:type="spellStart"/>
            <w:r>
              <w:rPr>
                <w:rFonts w:ascii="Times New Roman" w:hAnsi="Times New Roman"/>
                <w:i/>
                <w:sz w:val="24"/>
              </w:rPr>
              <w:t>Sub</w:t>
            </w:r>
            <w:proofErr w:type="spellEnd"/>
            <w:r>
              <w:rPr>
                <w:rFonts w:ascii="Times New Roman" w:hAnsi="Times New Roman"/>
                <w:i/>
                <w:sz w:val="24"/>
              </w:rPr>
              <w:t>-) konsolidēti] [Solo un (</w:t>
            </w:r>
            <w:proofErr w:type="spellStart"/>
            <w:r>
              <w:rPr>
                <w:rFonts w:ascii="Times New Roman" w:hAnsi="Times New Roman"/>
                <w:i/>
                <w:sz w:val="24"/>
              </w:rPr>
              <w:t>sub</w:t>
            </w:r>
            <w:proofErr w:type="spellEnd"/>
            <w:r>
              <w:rPr>
                <w:rFonts w:ascii="Times New Roman" w:hAnsi="Times New Roman"/>
                <w:i/>
                <w:sz w:val="24"/>
              </w:rPr>
              <w:t>-)konsolidēti]</w:t>
            </w:r>
          </w:p>
        </w:tc>
      </w:tr>
      <w:tr w:rsidR="00C85971" w:rsidRPr="007F4CC8" w14:paraId="51C179AB" w14:textId="77777777" w:rsidTr="00D819DE">
        <w:trPr>
          <w:trHeight w:val="259"/>
        </w:trPr>
        <w:tc>
          <w:tcPr>
            <w:tcW w:w="1030" w:type="dxa"/>
            <w:vAlign w:val="center"/>
          </w:tcPr>
          <w:p w14:paraId="48FEED2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7.</w:t>
            </w:r>
          </w:p>
        </w:tc>
        <w:tc>
          <w:tcPr>
            <w:tcW w:w="7661" w:type="dxa"/>
            <w:shd w:val="clear" w:color="auto" w:fill="auto"/>
            <w:noWrap/>
            <w:vAlign w:val="bottom"/>
          </w:tcPr>
          <w:p w14:paraId="76DDD34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Instrumenta veids (veidi jānorāda par katru jurisdikciju)</w:t>
            </w:r>
          </w:p>
          <w:p w14:paraId="36FF354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Iestādes precizē instrumenta veidu atkarībā no jurisdikcijas. </w:t>
            </w:r>
          </w:p>
          <w:p w14:paraId="77AB4FE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Attiecībā uz pirmā līmeņa pamata kapitālu atlasa instrumenta nosaukumu pirmā līmeņa pamata kapitāla instrumentu sarakstā, ko EBI publicē saskaņā ar </w:t>
            </w:r>
            <w:r>
              <w:rPr>
                <w:rFonts w:ascii="Times New Roman" w:hAnsi="Times New Roman"/>
                <w:sz w:val="24"/>
              </w:rPr>
              <w:t>CRR</w:t>
            </w:r>
            <w:r>
              <w:rPr>
                <w:rFonts w:ascii="Times New Roman" w:hAnsi="Times New Roman"/>
                <w:i/>
                <w:sz w:val="24"/>
              </w:rPr>
              <w:t xml:space="preserve"> 26. panta 3. punktu.</w:t>
            </w:r>
          </w:p>
          <w:p w14:paraId="02249DAC"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Attiecībā uz citiem instrumentiem atlasa no izvēlnes iespējām, kas katrai jurisdikcijai jāsniedz iestādēm, – jāiekļauj atsauces uz </w:t>
            </w:r>
            <w:r>
              <w:rPr>
                <w:rFonts w:ascii="Times New Roman" w:hAnsi="Times New Roman"/>
                <w:sz w:val="24"/>
              </w:rPr>
              <w:t>CRR</w:t>
            </w:r>
            <w:r>
              <w:rPr>
                <w:rFonts w:ascii="Times New Roman" w:hAnsi="Times New Roman"/>
                <w:i/>
                <w:sz w:val="24"/>
              </w:rPr>
              <w:t xml:space="preserve"> pantiem katram instrumentu veidam</w:t>
            </w:r>
          </w:p>
        </w:tc>
      </w:tr>
      <w:tr w:rsidR="00C85971" w:rsidRPr="007F4CC8" w14:paraId="05E18079" w14:textId="77777777" w:rsidTr="00D819DE">
        <w:trPr>
          <w:trHeight w:val="259"/>
        </w:trPr>
        <w:tc>
          <w:tcPr>
            <w:tcW w:w="1030" w:type="dxa"/>
            <w:vAlign w:val="center"/>
          </w:tcPr>
          <w:p w14:paraId="0665791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8.</w:t>
            </w:r>
          </w:p>
        </w:tc>
        <w:tc>
          <w:tcPr>
            <w:tcW w:w="7661" w:type="dxa"/>
            <w:shd w:val="clear" w:color="auto" w:fill="auto"/>
            <w:noWrap/>
            <w:vAlign w:val="bottom"/>
          </w:tcPr>
          <w:p w14:paraId="7DE2CA9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Summa, kas atzīta regulatīvajām prasībām atbilstošā kapitālā vai atbilstīgajās saistībās (valūta miljonos, sākot no pēdējā pārskata sniegšanas dienas)</w:t>
            </w:r>
          </w:p>
          <w:p w14:paraId="0082999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Iestādes precizē summu, kas atzīta regulatīvajām prasībām atbilstošā pašu kapitālā vai atbilstīgajās saistībās.</w:t>
            </w:r>
          </w:p>
          <w:p w14:paraId="2D49DE4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Teksts brīvā formā – norādīt jo īpaši, ja dažas instrumentu daļas ir dažādos regulatīvajām prasībām atbilstoša kapitāla līmeņos un ja summa, kas atzīta regulatīvajām prasībām atbilstošā pašu kapitālā, atšķiras no emitētās summas.</w:t>
            </w:r>
          </w:p>
        </w:tc>
      </w:tr>
      <w:tr w:rsidR="00C85971" w:rsidRPr="007F4CC8" w14:paraId="284CA942" w14:textId="77777777" w:rsidTr="00D819DE">
        <w:trPr>
          <w:trHeight w:val="259"/>
        </w:trPr>
        <w:tc>
          <w:tcPr>
            <w:tcW w:w="1030" w:type="dxa"/>
            <w:vAlign w:val="center"/>
          </w:tcPr>
          <w:p w14:paraId="370A5AC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9.</w:t>
            </w:r>
          </w:p>
        </w:tc>
        <w:tc>
          <w:tcPr>
            <w:tcW w:w="7661" w:type="dxa"/>
            <w:shd w:val="clear" w:color="auto" w:fill="auto"/>
            <w:noWrap/>
            <w:vAlign w:val="bottom"/>
          </w:tcPr>
          <w:p w14:paraId="2349DBC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Instrumenta nominālā summa </w:t>
            </w:r>
          </w:p>
          <w:p w14:paraId="6380272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Instrumenta nominālā summa (emisijas valūtā un valūtā, ko izmanto, pildot pārskatu sniegšanas pienākumus)</w:t>
            </w:r>
          </w:p>
          <w:p w14:paraId="466B955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Teksts brīvā formā</w:t>
            </w:r>
          </w:p>
        </w:tc>
      </w:tr>
      <w:tr w:rsidR="00C85971" w:rsidRPr="007F4CC8" w14:paraId="0544B969" w14:textId="77777777" w:rsidTr="00D819DE">
        <w:trPr>
          <w:trHeight w:val="259"/>
        </w:trPr>
        <w:tc>
          <w:tcPr>
            <w:tcW w:w="1030" w:type="dxa"/>
            <w:vAlign w:val="center"/>
          </w:tcPr>
          <w:p w14:paraId="2006187A"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EU-9.a</w:t>
            </w:r>
          </w:p>
        </w:tc>
        <w:tc>
          <w:tcPr>
            <w:tcW w:w="7661" w:type="dxa"/>
            <w:shd w:val="clear" w:color="auto" w:fill="auto"/>
            <w:noWrap/>
            <w:vAlign w:val="bottom"/>
          </w:tcPr>
          <w:p w14:paraId="24E5CF7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Emisijas cena</w:t>
            </w:r>
          </w:p>
          <w:p w14:paraId="1F541B1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Instrumenta emisijas cena</w:t>
            </w:r>
          </w:p>
          <w:p w14:paraId="789EF5B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Teksts brīvā formā</w:t>
            </w:r>
          </w:p>
        </w:tc>
      </w:tr>
      <w:tr w:rsidR="00C85971" w:rsidRPr="007F4CC8" w14:paraId="4CA90A7D" w14:textId="77777777" w:rsidTr="00D819DE">
        <w:trPr>
          <w:trHeight w:val="259"/>
        </w:trPr>
        <w:tc>
          <w:tcPr>
            <w:tcW w:w="1030" w:type="dxa"/>
            <w:vAlign w:val="center"/>
          </w:tcPr>
          <w:p w14:paraId="38899B7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EU-9.b</w:t>
            </w:r>
          </w:p>
        </w:tc>
        <w:tc>
          <w:tcPr>
            <w:tcW w:w="7661" w:type="dxa"/>
            <w:shd w:val="clear" w:color="auto" w:fill="auto"/>
            <w:noWrap/>
            <w:vAlign w:val="bottom"/>
          </w:tcPr>
          <w:p w14:paraId="121E893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Dzēšanas cena</w:t>
            </w:r>
          </w:p>
          <w:p w14:paraId="3882BA0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Instrumenta dzēšanas cena</w:t>
            </w:r>
          </w:p>
          <w:p w14:paraId="0A2871F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Teksts brīvā formā</w:t>
            </w:r>
          </w:p>
        </w:tc>
      </w:tr>
      <w:tr w:rsidR="00C85971" w:rsidRPr="007F4CC8" w14:paraId="5D67AC63" w14:textId="77777777" w:rsidTr="00D819DE">
        <w:trPr>
          <w:trHeight w:val="259"/>
        </w:trPr>
        <w:tc>
          <w:tcPr>
            <w:tcW w:w="1030" w:type="dxa"/>
            <w:vAlign w:val="center"/>
          </w:tcPr>
          <w:p w14:paraId="0C043D9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10.</w:t>
            </w:r>
          </w:p>
        </w:tc>
        <w:tc>
          <w:tcPr>
            <w:tcW w:w="7661" w:type="dxa"/>
            <w:shd w:val="clear" w:color="auto" w:fill="auto"/>
            <w:noWrap/>
            <w:vAlign w:val="bottom"/>
          </w:tcPr>
          <w:p w14:paraId="19BCB8E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Uzskaites klasifikācija</w:t>
            </w:r>
          </w:p>
          <w:p w14:paraId="780F56D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Iestādes precizē uzskaites klasifikāciju.</w:t>
            </w:r>
          </w:p>
          <w:p w14:paraId="7F82F11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lastRenderedPageBreak/>
              <w:t>Atlasīt no izvēlnes: [Akcionāru pašu kapitāls] [Saistības – amortizētajās izmaksās] [Saistības – patiesās vērtības iespēja] [Nekontrolējoša līdzdalība konsolidētā meitasuzņēmumā]</w:t>
            </w:r>
          </w:p>
        </w:tc>
      </w:tr>
      <w:tr w:rsidR="00C85971" w:rsidRPr="007F4CC8" w14:paraId="53BD4D9C" w14:textId="77777777" w:rsidTr="00D819DE">
        <w:trPr>
          <w:trHeight w:val="259"/>
        </w:trPr>
        <w:tc>
          <w:tcPr>
            <w:tcW w:w="1030" w:type="dxa"/>
            <w:vAlign w:val="center"/>
          </w:tcPr>
          <w:p w14:paraId="6D4D323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11.</w:t>
            </w:r>
          </w:p>
        </w:tc>
        <w:tc>
          <w:tcPr>
            <w:tcW w:w="7661" w:type="dxa"/>
            <w:shd w:val="clear" w:color="auto" w:fill="auto"/>
            <w:noWrap/>
            <w:vAlign w:val="bottom"/>
          </w:tcPr>
          <w:p w14:paraId="458D846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Emisijas sākotnējais datums</w:t>
            </w:r>
          </w:p>
          <w:p w14:paraId="611C9A3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Iestādes precizē emisijas datumu.</w:t>
            </w:r>
          </w:p>
          <w:p w14:paraId="2154F81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Teksts brīvā formā</w:t>
            </w:r>
          </w:p>
        </w:tc>
      </w:tr>
      <w:tr w:rsidR="00C85971" w:rsidRPr="007F4CC8" w14:paraId="04FFB927" w14:textId="77777777" w:rsidTr="00D819DE">
        <w:trPr>
          <w:trHeight w:val="259"/>
        </w:trPr>
        <w:tc>
          <w:tcPr>
            <w:tcW w:w="1030" w:type="dxa"/>
            <w:vAlign w:val="center"/>
          </w:tcPr>
          <w:p w14:paraId="205744A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12.</w:t>
            </w:r>
          </w:p>
        </w:tc>
        <w:tc>
          <w:tcPr>
            <w:tcW w:w="7661" w:type="dxa"/>
            <w:shd w:val="clear" w:color="auto" w:fill="auto"/>
            <w:noWrap/>
            <w:vAlign w:val="bottom"/>
          </w:tcPr>
          <w:p w14:paraId="4EF23CA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Beztermiņa vai ar termiņu </w:t>
            </w:r>
          </w:p>
          <w:p w14:paraId="3E0D6EB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Iestādes precizē, vai instruments ir ar termiņu vai beztermiņa.</w:t>
            </w:r>
          </w:p>
          <w:p w14:paraId="245C539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Atlasīt no izvēlnes: [Beztermiņa] [Ar termiņu]</w:t>
            </w:r>
          </w:p>
        </w:tc>
      </w:tr>
      <w:tr w:rsidR="00C85971" w:rsidRPr="007F4CC8" w14:paraId="56CA0C61" w14:textId="77777777" w:rsidTr="00D819DE">
        <w:trPr>
          <w:trHeight w:val="259"/>
        </w:trPr>
        <w:tc>
          <w:tcPr>
            <w:tcW w:w="1030" w:type="dxa"/>
            <w:vAlign w:val="center"/>
          </w:tcPr>
          <w:p w14:paraId="616EB2D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13.</w:t>
            </w:r>
          </w:p>
        </w:tc>
        <w:tc>
          <w:tcPr>
            <w:tcW w:w="7661" w:type="dxa"/>
            <w:shd w:val="clear" w:color="auto" w:fill="auto"/>
            <w:noWrap/>
            <w:vAlign w:val="bottom"/>
          </w:tcPr>
          <w:p w14:paraId="6ED0636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Sākotnējā termiņa datums</w:t>
            </w:r>
          </w:p>
          <w:p w14:paraId="4B82838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Instrumentam ar termiņu iestādes precizē sākotnējā termiņa datumu (diena, mēnesis un gads). Beztermiņa instrumentam norāda “beztermiņa”. </w:t>
            </w:r>
          </w:p>
          <w:p w14:paraId="68FD419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Teksts brīvā formā</w:t>
            </w:r>
          </w:p>
        </w:tc>
      </w:tr>
      <w:tr w:rsidR="00C85971" w:rsidRPr="007F4CC8" w14:paraId="388525EC" w14:textId="77777777" w:rsidTr="00D819DE">
        <w:trPr>
          <w:trHeight w:val="259"/>
        </w:trPr>
        <w:tc>
          <w:tcPr>
            <w:tcW w:w="1030" w:type="dxa"/>
            <w:vAlign w:val="center"/>
          </w:tcPr>
          <w:p w14:paraId="2049CCD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14.</w:t>
            </w:r>
          </w:p>
        </w:tc>
        <w:tc>
          <w:tcPr>
            <w:tcW w:w="7661" w:type="dxa"/>
            <w:shd w:val="clear" w:color="auto" w:fill="auto"/>
            <w:noWrap/>
            <w:vAlign w:val="bottom"/>
          </w:tcPr>
          <w:p w14:paraId="4A451C2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Emitenta atsaukšanas iespēja, attiecībā uz kuru jāsaņem iepriekšējs uzraudzības iestāžu apstiprinājums </w:t>
            </w:r>
          </w:p>
          <w:p w14:paraId="5855737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Iestādes precizē, vai pastāv emitentam paredzēta atsaukšanas iespēja (visu veidu atsaukšanas iespējas).</w:t>
            </w:r>
          </w:p>
          <w:p w14:paraId="613B3C4C"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Atlasīt no izvēlnes: [Jā] [Nē]</w:t>
            </w:r>
          </w:p>
        </w:tc>
      </w:tr>
      <w:tr w:rsidR="00C85971" w:rsidRPr="007F4CC8" w14:paraId="7A6B78FD" w14:textId="77777777" w:rsidTr="00D819DE">
        <w:trPr>
          <w:trHeight w:val="259"/>
        </w:trPr>
        <w:tc>
          <w:tcPr>
            <w:tcW w:w="1030" w:type="dxa"/>
            <w:vAlign w:val="center"/>
          </w:tcPr>
          <w:p w14:paraId="670CA14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15.</w:t>
            </w:r>
          </w:p>
        </w:tc>
        <w:tc>
          <w:tcPr>
            <w:tcW w:w="7661" w:type="dxa"/>
            <w:shd w:val="clear" w:color="auto" w:fill="auto"/>
            <w:noWrap/>
            <w:vAlign w:val="bottom"/>
          </w:tcPr>
          <w:p w14:paraId="6A950D9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Atsaukšanas datums pēc izvēles, iespējamie atsaukšanas datumi un dzēšanas summa</w:t>
            </w:r>
          </w:p>
          <w:p w14:paraId="73384FE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Instrumentam, kura emitentam paredzēta atsaukšanas iespēja, norāda pirmo atsaukšanas iespējas datumu, ja instrumentam atsaukšanas iespēja paredzēta noteiktā datumā (diena, mēnesis un gads), un turklāt norāda, vai instrumentam paredzēta atsaukšana nodokļu un/vai regulatīvajā gadījumā. Iestādes arī norāda dzēšanas cenu, kas palīdz novērtēt pastāvīgumu.</w:t>
            </w:r>
          </w:p>
          <w:p w14:paraId="525DFAC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Teksts brīvā formā</w:t>
            </w:r>
          </w:p>
        </w:tc>
      </w:tr>
      <w:tr w:rsidR="00C85971" w:rsidRPr="007F4CC8" w14:paraId="23AB55A7" w14:textId="77777777" w:rsidTr="00D819DE">
        <w:trPr>
          <w:trHeight w:val="259"/>
        </w:trPr>
        <w:tc>
          <w:tcPr>
            <w:tcW w:w="1030" w:type="dxa"/>
            <w:vAlign w:val="center"/>
          </w:tcPr>
          <w:p w14:paraId="080D7F0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16.</w:t>
            </w:r>
          </w:p>
        </w:tc>
        <w:tc>
          <w:tcPr>
            <w:tcW w:w="7661" w:type="dxa"/>
            <w:shd w:val="clear" w:color="auto" w:fill="auto"/>
            <w:noWrap/>
            <w:vAlign w:val="bottom"/>
          </w:tcPr>
          <w:p w14:paraId="08CF89A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Attiecīgā gadījumā – vēlāki atsaukšanas datumi</w:t>
            </w:r>
          </w:p>
          <w:p w14:paraId="1CE0E8D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Iestādes attiecīgā gadījumā precizē, vai pastāv turpmāki atsaukšanas datumi, un to biežumu, kas palīdz novērtēt pastāvīgumu.</w:t>
            </w:r>
          </w:p>
          <w:p w14:paraId="7B5269A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Teksts brīvā formā</w:t>
            </w:r>
          </w:p>
        </w:tc>
      </w:tr>
      <w:tr w:rsidR="00C85971" w:rsidRPr="007F4CC8" w14:paraId="130CD498" w14:textId="77777777" w:rsidTr="00D819DE">
        <w:trPr>
          <w:trHeight w:val="259"/>
        </w:trPr>
        <w:tc>
          <w:tcPr>
            <w:tcW w:w="1030" w:type="dxa"/>
            <w:vAlign w:val="center"/>
          </w:tcPr>
          <w:p w14:paraId="7F01AD6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17.</w:t>
            </w:r>
          </w:p>
        </w:tc>
        <w:tc>
          <w:tcPr>
            <w:tcW w:w="7661" w:type="dxa"/>
            <w:shd w:val="clear" w:color="auto" w:fill="auto"/>
            <w:noWrap/>
            <w:vAlign w:val="bottom"/>
          </w:tcPr>
          <w:p w14:paraId="7E670C8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Fiksētas vai mainīgas dividendes/kuponi</w:t>
            </w:r>
          </w:p>
          <w:p w14:paraId="52599B65"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Iestādes precizē, vai kupons/dividende ir fiksēti vai mainīgi instrumenta darbības laikā, vai pašreiz fiksēti, bet kļūs par mainīgas likmes </w:t>
            </w:r>
            <w:r>
              <w:rPr>
                <w:rFonts w:ascii="Times New Roman" w:hAnsi="Times New Roman"/>
                <w:sz w:val="24"/>
              </w:rPr>
              <w:lastRenderedPageBreak/>
              <w:t xml:space="preserve">kuponiem/dividendēm nākotnē, vai pašreiz mainīgi, bet kļūs par fiksētiem nākotnē. </w:t>
            </w:r>
          </w:p>
          <w:p w14:paraId="52AB5C9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Atlasīt no izvēlnes: [Fiksētas likmes] [Mainīgas likmes] [No fiksētas uz mainīgu likmi] [No mainīgas uz fiksētu likmi] </w:t>
            </w:r>
          </w:p>
        </w:tc>
      </w:tr>
      <w:tr w:rsidR="00C85971" w:rsidRPr="007F4CC8" w14:paraId="280F0BBF" w14:textId="77777777" w:rsidTr="00D819DE">
        <w:trPr>
          <w:trHeight w:val="259"/>
        </w:trPr>
        <w:tc>
          <w:tcPr>
            <w:tcW w:w="1030" w:type="dxa"/>
            <w:vAlign w:val="center"/>
          </w:tcPr>
          <w:p w14:paraId="6E4491B9"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18.</w:t>
            </w:r>
          </w:p>
        </w:tc>
        <w:tc>
          <w:tcPr>
            <w:tcW w:w="7661" w:type="dxa"/>
            <w:shd w:val="clear" w:color="auto" w:fill="auto"/>
            <w:noWrap/>
            <w:vAlign w:val="bottom"/>
          </w:tcPr>
          <w:p w14:paraId="5797637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Kupona likme un jebkāds ar to saistīts indekss </w:t>
            </w:r>
          </w:p>
          <w:p w14:paraId="65D080D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Iestādes norāda instrumenta kupona likmi un jebkādu attiecīgo indeksu, ar ko saistīta kuponu/dividenžu likme. </w:t>
            </w:r>
          </w:p>
          <w:p w14:paraId="0AEC589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Teksts brīvā formā </w:t>
            </w:r>
          </w:p>
        </w:tc>
      </w:tr>
      <w:tr w:rsidR="00C85971" w:rsidRPr="007F4CC8" w14:paraId="5E04C258" w14:textId="77777777" w:rsidTr="00D819DE">
        <w:trPr>
          <w:trHeight w:val="259"/>
        </w:trPr>
        <w:tc>
          <w:tcPr>
            <w:tcW w:w="1030" w:type="dxa"/>
            <w:vAlign w:val="center"/>
          </w:tcPr>
          <w:p w14:paraId="64425A0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19.</w:t>
            </w:r>
          </w:p>
        </w:tc>
        <w:tc>
          <w:tcPr>
            <w:tcW w:w="7661" w:type="dxa"/>
            <w:shd w:val="clear" w:color="auto" w:fill="auto"/>
            <w:noWrap/>
            <w:vAlign w:val="bottom"/>
          </w:tcPr>
          <w:p w14:paraId="6084AED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Dividenžu bloķēšanas noteikumu esamība </w:t>
            </w:r>
          </w:p>
          <w:p w14:paraId="5D351279"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Iestādes norāda, vai instrumenta kuponu vai dividenžu neizmaksāšana aizliedz izmaksāt dividendes par parastajām akcijām (t. i., vai pastāv dividenžu bloķēšanas noteikumi). </w:t>
            </w:r>
          </w:p>
          <w:p w14:paraId="5812A304"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Atlasīt no izvēlnes: [jā], [nē] </w:t>
            </w:r>
          </w:p>
        </w:tc>
      </w:tr>
      <w:tr w:rsidR="00C85971" w:rsidRPr="007F4CC8" w14:paraId="3D392B8E" w14:textId="77777777" w:rsidTr="00D819DE">
        <w:trPr>
          <w:trHeight w:val="259"/>
        </w:trPr>
        <w:tc>
          <w:tcPr>
            <w:tcW w:w="1030" w:type="dxa"/>
            <w:vAlign w:val="center"/>
          </w:tcPr>
          <w:p w14:paraId="77A0876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EU-20.a</w:t>
            </w:r>
          </w:p>
        </w:tc>
        <w:tc>
          <w:tcPr>
            <w:tcW w:w="7661" w:type="dxa"/>
            <w:shd w:val="clear" w:color="auto" w:fill="auto"/>
            <w:noWrap/>
            <w:vAlign w:val="bottom"/>
          </w:tcPr>
          <w:p w14:paraId="647767A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Ar pilnu rīcības brīvību, ar daļēju rīcības brīvību vai obligāti (laika ziņā) </w:t>
            </w:r>
          </w:p>
          <w:p w14:paraId="53D0B84D"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Iestādes norāda, vai emitentam ir pilna vai daļēja rīcības brīvība, vai nav rīcības brīvības lemt par kuponu/dividenžu izmaksu. Ja iestādei ir pilna rīcības brīvība atcelt kuponu/dividenžu maksājumus jebkurā gadījumā, tad tā atzīmē izvēli “ar pilnu rīcības brīvību” (arī, ja pastāv tādi dividenžu bloķēšanas noteikumi, kas nevar kavēt iestādi atcelt maksājumus par instrumentu). Ja pastāv nosacījumi, kas jāizpilda, pirms var atcelt maksājumu (piemēram, pašu kapitāls nepārsniedz noteiktu līmeni), iestāde atzīmē izvēli “ar daļēju rīcības brīvību”. Ja iestāde nevar atcelt maksājumu, nepastāvot maksātnespējai, iestādei jāatzīmē izvēle “obligāti”.</w:t>
            </w:r>
          </w:p>
          <w:p w14:paraId="093B501F"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Atlasīt no izvēlnes: [Ar pilnu rīcības brīvību] [Ar daļēju rīcības brīvību] [Obligāti]</w:t>
            </w:r>
          </w:p>
          <w:p w14:paraId="437D693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Brīvs teksts (norādot rīcības brīvības iemeslus, vai pastāv dividenžu obligātas izmaksas noteikumi, dividenžu bloķēšanas noteikumi, alternatīvs mehānisms kuponu izmaksāšanai (AMKI))</w:t>
            </w:r>
          </w:p>
        </w:tc>
      </w:tr>
      <w:tr w:rsidR="00C85971" w:rsidRPr="007F4CC8" w14:paraId="10D953A2" w14:textId="77777777" w:rsidTr="00D819DE">
        <w:trPr>
          <w:trHeight w:val="259"/>
        </w:trPr>
        <w:tc>
          <w:tcPr>
            <w:tcW w:w="1030" w:type="dxa"/>
            <w:vAlign w:val="center"/>
          </w:tcPr>
          <w:p w14:paraId="5548CD9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EU-20.b</w:t>
            </w:r>
          </w:p>
        </w:tc>
        <w:tc>
          <w:tcPr>
            <w:tcW w:w="7661" w:type="dxa"/>
            <w:shd w:val="clear" w:color="auto" w:fill="auto"/>
            <w:noWrap/>
            <w:vAlign w:val="bottom"/>
          </w:tcPr>
          <w:p w14:paraId="6504D08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Ar pilnu rīcības brīvību, ar daļēju rīcības brīvību vai obligāti (summas ziņā) </w:t>
            </w:r>
          </w:p>
          <w:p w14:paraId="04BFE83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Iestādes norāda, vai emitentam ir pilna vai daļēja rīcības brīvība, vai nav rīcības brīvības lemt par kuponu/dividenžu summu.</w:t>
            </w:r>
          </w:p>
          <w:p w14:paraId="513C496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Atlasīt no izvēlnes: [Ar pilnu rīcības brīvību] [Ar daļēju rīcības brīvību] [Obligāti]</w:t>
            </w:r>
          </w:p>
        </w:tc>
      </w:tr>
      <w:tr w:rsidR="00C85971" w:rsidRPr="007F4CC8" w14:paraId="75B6FF75" w14:textId="77777777" w:rsidTr="00D819DE">
        <w:trPr>
          <w:trHeight w:val="259"/>
        </w:trPr>
        <w:tc>
          <w:tcPr>
            <w:tcW w:w="1030" w:type="dxa"/>
            <w:vAlign w:val="center"/>
          </w:tcPr>
          <w:p w14:paraId="7C6A257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21.</w:t>
            </w:r>
          </w:p>
        </w:tc>
        <w:tc>
          <w:tcPr>
            <w:tcW w:w="7661" w:type="dxa"/>
            <w:shd w:val="clear" w:color="auto" w:fill="auto"/>
            <w:noWrap/>
            <w:vAlign w:val="bottom"/>
          </w:tcPr>
          <w:p w14:paraId="0F2B7E1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Pieaugošu maksājumu vai citu dzēšanu veicinošu nosacījumu esība</w:t>
            </w:r>
          </w:p>
          <w:p w14:paraId="12907BE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lastRenderedPageBreak/>
              <w:t>Iestādes norāda, vai pastāv pieaugoši maksājumi vai citi dzēšanu veicinoši nosacījumi</w:t>
            </w:r>
          </w:p>
          <w:p w14:paraId="4BED9D4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Atlasīt no izvēlnes: [Jā] [Nē]</w:t>
            </w:r>
          </w:p>
        </w:tc>
      </w:tr>
      <w:tr w:rsidR="00C85971" w:rsidRPr="007F4CC8" w14:paraId="1937B62C" w14:textId="77777777" w:rsidTr="00D819DE">
        <w:trPr>
          <w:trHeight w:val="259"/>
        </w:trPr>
        <w:tc>
          <w:tcPr>
            <w:tcW w:w="1030" w:type="dxa"/>
            <w:vAlign w:val="center"/>
          </w:tcPr>
          <w:p w14:paraId="08732FD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22.</w:t>
            </w:r>
          </w:p>
        </w:tc>
        <w:tc>
          <w:tcPr>
            <w:tcW w:w="7661" w:type="dxa"/>
            <w:shd w:val="clear" w:color="auto" w:fill="auto"/>
            <w:noWrap/>
            <w:vAlign w:val="bottom"/>
          </w:tcPr>
          <w:p w14:paraId="45FEA97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Nekumulatīvi vai kumulatīvi</w:t>
            </w:r>
          </w:p>
          <w:p w14:paraId="55B7FEB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Iestādes norāda, vai dividendes/kuponi ir kumulatīvi vai nekumulatīvi.</w:t>
            </w:r>
          </w:p>
          <w:p w14:paraId="0EB38D12"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Atlasīt no izvēlnes: [Nekumulatīvi] [Kumulatīvi] [AMKI]</w:t>
            </w:r>
          </w:p>
        </w:tc>
      </w:tr>
      <w:tr w:rsidR="00C85971" w:rsidRPr="007F4CC8" w14:paraId="0AC7DDCD" w14:textId="77777777" w:rsidTr="00D819DE">
        <w:trPr>
          <w:trHeight w:val="259"/>
        </w:trPr>
        <w:tc>
          <w:tcPr>
            <w:tcW w:w="1030" w:type="dxa"/>
            <w:vAlign w:val="center"/>
          </w:tcPr>
          <w:p w14:paraId="0954662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23.</w:t>
            </w:r>
          </w:p>
        </w:tc>
        <w:tc>
          <w:tcPr>
            <w:tcW w:w="7661" w:type="dxa"/>
            <w:shd w:val="clear" w:color="auto" w:fill="auto"/>
            <w:noWrap/>
            <w:vAlign w:val="bottom"/>
          </w:tcPr>
          <w:p w14:paraId="05E02B3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Konvertējami vai nekonvertējami</w:t>
            </w:r>
          </w:p>
          <w:p w14:paraId="03E7455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Iestādes norāda, vai instruments ir konvertējams vai nekonvertējams.</w:t>
            </w:r>
          </w:p>
          <w:p w14:paraId="5A5BB1FB"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Atlasīt no izvēlnes: [Konvertējams] [Nekonvertējams]</w:t>
            </w:r>
          </w:p>
        </w:tc>
      </w:tr>
      <w:tr w:rsidR="00C85971" w:rsidRPr="007F4CC8" w14:paraId="17BEBE61" w14:textId="77777777" w:rsidTr="00D819DE">
        <w:trPr>
          <w:trHeight w:val="259"/>
        </w:trPr>
        <w:tc>
          <w:tcPr>
            <w:tcW w:w="1030" w:type="dxa"/>
            <w:vAlign w:val="center"/>
          </w:tcPr>
          <w:p w14:paraId="3094BF5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24.</w:t>
            </w:r>
          </w:p>
        </w:tc>
        <w:tc>
          <w:tcPr>
            <w:tcW w:w="7661" w:type="dxa"/>
            <w:shd w:val="clear" w:color="auto" w:fill="auto"/>
            <w:noWrap/>
            <w:vAlign w:val="bottom"/>
          </w:tcPr>
          <w:p w14:paraId="557E2DF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Ja konvertējams, norāda konvertācijas </w:t>
            </w:r>
            <w:proofErr w:type="spellStart"/>
            <w:r>
              <w:rPr>
                <w:rFonts w:ascii="Times New Roman" w:hAnsi="Times New Roman"/>
                <w:sz w:val="24"/>
              </w:rPr>
              <w:t>izraisītājmehānismu</w:t>
            </w:r>
            <w:proofErr w:type="spellEnd"/>
            <w:r>
              <w:rPr>
                <w:rFonts w:ascii="Times New Roman" w:hAnsi="Times New Roman"/>
                <w:sz w:val="24"/>
              </w:rPr>
              <w:t>(-</w:t>
            </w:r>
            <w:proofErr w:type="spellStart"/>
            <w:r>
              <w:rPr>
                <w:rFonts w:ascii="Times New Roman" w:hAnsi="Times New Roman"/>
                <w:sz w:val="24"/>
              </w:rPr>
              <w:t>us</w:t>
            </w:r>
            <w:proofErr w:type="spellEnd"/>
            <w:r>
              <w:rPr>
                <w:rFonts w:ascii="Times New Roman" w:hAnsi="Times New Roman"/>
                <w:sz w:val="24"/>
              </w:rPr>
              <w:t>)</w:t>
            </w:r>
          </w:p>
          <w:p w14:paraId="64B6857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Iestādes norāda nosacījumus, saskaņā ar kuriem šis instruments tiks konvertēts, tostarp dzīvotspējas zuduma kritēriju. Ja viena vai vairākas iestādes var ierosināt konvertēšanu, tad šīs iestādes uzskaita. Attiecībā uz katru no iestādēm norāda, vai juridiskais pamats iestādei ierosināt konvertēšanu ir instrumenta līguma noteikumi (līgumiskā pieeja), vai arī šāds juridiskais pamats ir noteikts tiesību aktos (tiesību aktu pieeja).</w:t>
            </w:r>
          </w:p>
          <w:p w14:paraId="492B288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Teksts brīvā formā</w:t>
            </w:r>
          </w:p>
        </w:tc>
      </w:tr>
      <w:tr w:rsidR="00C85971" w:rsidRPr="007F4CC8" w14:paraId="4233FD69" w14:textId="77777777" w:rsidTr="00D819DE">
        <w:trPr>
          <w:trHeight w:val="259"/>
        </w:trPr>
        <w:tc>
          <w:tcPr>
            <w:tcW w:w="1030" w:type="dxa"/>
            <w:vAlign w:val="center"/>
          </w:tcPr>
          <w:p w14:paraId="0B9A41F8"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25.</w:t>
            </w:r>
          </w:p>
        </w:tc>
        <w:tc>
          <w:tcPr>
            <w:tcW w:w="7661" w:type="dxa"/>
            <w:shd w:val="clear" w:color="auto" w:fill="auto"/>
            <w:noWrap/>
            <w:vAlign w:val="bottom"/>
          </w:tcPr>
          <w:p w14:paraId="37E1797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Ja konvertējami – pilnībā vai daļēji</w:t>
            </w:r>
          </w:p>
          <w:p w14:paraId="5FFCE6A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Iestādes norāda, vai instruments vienmēr tiks konvertēts pilnībā, to var konvertēt pilnībā vai daļēji vai arī tas vienmēr tiks konvertēts daļēji.</w:t>
            </w:r>
          </w:p>
          <w:p w14:paraId="04295F2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Atlasīt no izvēlnes: [Vienmēr pilnībā] [Pilnībā vai daļēji] [Vienmēr daļēji]</w:t>
            </w:r>
          </w:p>
        </w:tc>
      </w:tr>
      <w:tr w:rsidR="00C85971" w:rsidRPr="007F4CC8" w14:paraId="2F949347" w14:textId="77777777" w:rsidTr="00D819DE">
        <w:trPr>
          <w:trHeight w:val="259"/>
        </w:trPr>
        <w:tc>
          <w:tcPr>
            <w:tcW w:w="1030" w:type="dxa"/>
            <w:vAlign w:val="center"/>
          </w:tcPr>
          <w:p w14:paraId="5F8D7F5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26.</w:t>
            </w:r>
          </w:p>
        </w:tc>
        <w:tc>
          <w:tcPr>
            <w:tcW w:w="7661" w:type="dxa"/>
            <w:shd w:val="clear" w:color="auto" w:fill="auto"/>
            <w:noWrap/>
            <w:vAlign w:val="bottom"/>
          </w:tcPr>
          <w:p w14:paraId="525BBA9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Ja konvertējami – konvertācijas likme</w:t>
            </w:r>
          </w:p>
          <w:p w14:paraId="24115E3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Iestādes norāda likmi konvertēšanai instrumentā, kas vairāk absorbē zaudējumus. </w:t>
            </w:r>
          </w:p>
          <w:p w14:paraId="4957278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Teksts brīvā formā</w:t>
            </w:r>
          </w:p>
        </w:tc>
      </w:tr>
      <w:tr w:rsidR="00C85971" w:rsidRPr="007F4CC8" w14:paraId="3746C7E2" w14:textId="77777777" w:rsidTr="00D819DE">
        <w:trPr>
          <w:trHeight w:val="259"/>
        </w:trPr>
        <w:tc>
          <w:tcPr>
            <w:tcW w:w="1030" w:type="dxa"/>
            <w:vAlign w:val="center"/>
          </w:tcPr>
          <w:p w14:paraId="71E2E2D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27.</w:t>
            </w:r>
          </w:p>
        </w:tc>
        <w:tc>
          <w:tcPr>
            <w:tcW w:w="7661" w:type="dxa"/>
            <w:shd w:val="clear" w:color="auto" w:fill="auto"/>
            <w:noWrap/>
            <w:vAlign w:val="bottom"/>
          </w:tcPr>
          <w:p w14:paraId="2824EFA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Ja konvertējami – obligāta vai izvēles konvertācija</w:t>
            </w:r>
          </w:p>
          <w:p w14:paraId="2C09BCD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Attiecībā uz konvertējamiem instrumentiem iestādes norāda, vai konvertēšana ir obligāta vai pēc izvēles. </w:t>
            </w:r>
          </w:p>
          <w:p w14:paraId="0C9E7DA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Atlasīt no izvēlnes: [Obligāta] [Pēc izvēles] [NA] un [pēc turētāju izvēles] [pēc emitenta izvēles] [pēc turētāju un pēc emitenta izvēles]</w:t>
            </w:r>
          </w:p>
        </w:tc>
      </w:tr>
      <w:tr w:rsidR="00C85971" w:rsidRPr="007F4CC8" w14:paraId="19A25638" w14:textId="77777777" w:rsidTr="00D819DE">
        <w:trPr>
          <w:trHeight w:val="259"/>
        </w:trPr>
        <w:tc>
          <w:tcPr>
            <w:tcW w:w="1030" w:type="dxa"/>
            <w:vAlign w:val="center"/>
          </w:tcPr>
          <w:p w14:paraId="316EF1A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28.</w:t>
            </w:r>
          </w:p>
        </w:tc>
        <w:tc>
          <w:tcPr>
            <w:tcW w:w="7661" w:type="dxa"/>
            <w:shd w:val="clear" w:color="auto" w:fill="auto"/>
            <w:noWrap/>
            <w:vAlign w:val="bottom"/>
          </w:tcPr>
          <w:p w14:paraId="0838A71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Ja konvertējami, norāda tā instrumenta veidu, kurā konvertē</w:t>
            </w:r>
          </w:p>
          <w:p w14:paraId="006F3C5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lastRenderedPageBreak/>
              <w:t>Attiecībā uz konvertējamiem instrumentiem iestādes norāda instrumenta, kurā notiek konvertēšana, veidu. Palīdz novērtēt spēju absorbēt zaudējumus.</w:t>
            </w:r>
          </w:p>
          <w:p w14:paraId="466B337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Atlasīt no izvēlnes: [Pirmā līmeņa pamata kapitāla instrumenti] [Pirmā līmeņa papildu kapitāla instrumenti] [Otrā līmeņa kapitāla instrumenti] [Citi]</w:t>
            </w:r>
          </w:p>
        </w:tc>
      </w:tr>
      <w:tr w:rsidR="00C85971" w:rsidRPr="007F4CC8" w14:paraId="60E889B7" w14:textId="77777777" w:rsidTr="00D819DE">
        <w:trPr>
          <w:trHeight w:val="259"/>
        </w:trPr>
        <w:tc>
          <w:tcPr>
            <w:tcW w:w="1030" w:type="dxa"/>
            <w:vAlign w:val="center"/>
          </w:tcPr>
          <w:p w14:paraId="03D25633"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29.</w:t>
            </w:r>
          </w:p>
        </w:tc>
        <w:tc>
          <w:tcPr>
            <w:tcW w:w="7661" w:type="dxa"/>
            <w:shd w:val="clear" w:color="auto" w:fill="auto"/>
            <w:noWrap/>
            <w:vAlign w:val="bottom"/>
          </w:tcPr>
          <w:p w14:paraId="37418A5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Ja konvertējami, norāda tā instrumenta emitentu, kurā instrumentu konvertē</w:t>
            </w:r>
          </w:p>
          <w:p w14:paraId="68640A3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Teksts brīvā formā</w:t>
            </w:r>
          </w:p>
        </w:tc>
      </w:tr>
      <w:tr w:rsidR="00C85971" w:rsidRPr="007F4CC8" w14:paraId="0B942A3B" w14:textId="77777777" w:rsidTr="00D819DE">
        <w:trPr>
          <w:trHeight w:val="259"/>
        </w:trPr>
        <w:tc>
          <w:tcPr>
            <w:tcW w:w="1030" w:type="dxa"/>
            <w:vAlign w:val="center"/>
          </w:tcPr>
          <w:p w14:paraId="53F811F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30.</w:t>
            </w:r>
          </w:p>
        </w:tc>
        <w:tc>
          <w:tcPr>
            <w:tcW w:w="7661" w:type="dxa"/>
            <w:shd w:val="clear" w:color="auto" w:fill="auto"/>
            <w:noWrap/>
            <w:vAlign w:val="bottom"/>
          </w:tcPr>
          <w:p w14:paraId="6ED6EEF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Vērtības samazināšanas iezīmes</w:t>
            </w:r>
          </w:p>
          <w:p w14:paraId="4699CA8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Iestādes norāda, vai pastāv samazināšanas iezīme. </w:t>
            </w:r>
          </w:p>
          <w:p w14:paraId="14FB666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Atlasīt no izvēlnes: [Jā] [Nē]</w:t>
            </w:r>
          </w:p>
        </w:tc>
      </w:tr>
      <w:tr w:rsidR="00C85971" w:rsidRPr="007F4CC8" w14:paraId="1E910235" w14:textId="77777777" w:rsidTr="00D819DE">
        <w:trPr>
          <w:trHeight w:val="259"/>
        </w:trPr>
        <w:tc>
          <w:tcPr>
            <w:tcW w:w="1030" w:type="dxa"/>
            <w:vAlign w:val="center"/>
          </w:tcPr>
          <w:p w14:paraId="4E24BE5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31.</w:t>
            </w:r>
          </w:p>
        </w:tc>
        <w:tc>
          <w:tcPr>
            <w:tcW w:w="7661" w:type="dxa"/>
            <w:shd w:val="clear" w:color="auto" w:fill="auto"/>
            <w:noWrap/>
            <w:vAlign w:val="bottom"/>
          </w:tcPr>
          <w:p w14:paraId="72A8316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Ja vērtība samazināta – samazināšanas </w:t>
            </w:r>
            <w:proofErr w:type="spellStart"/>
            <w:r>
              <w:rPr>
                <w:rFonts w:ascii="Times New Roman" w:hAnsi="Times New Roman"/>
                <w:sz w:val="24"/>
              </w:rPr>
              <w:t>izraisītājmehānisms</w:t>
            </w:r>
            <w:proofErr w:type="spellEnd"/>
            <w:r>
              <w:rPr>
                <w:rFonts w:ascii="Times New Roman" w:hAnsi="Times New Roman"/>
                <w:sz w:val="24"/>
              </w:rPr>
              <w:t>(-i)</w:t>
            </w:r>
          </w:p>
          <w:p w14:paraId="397C360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Iestādes norāda </w:t>
            </w:r>
            <w:proofErr w:type="spellStart"/>
            <w:r>
              <w:rPr>
                <w:rFonts w:ascii="Times New Roman" w:hAnsi="Times New Roman"/>
                <w:sz w:val="24"/>
              </w:rPr>
              <w:t>izraisītājmehānismus</w:t>
            </w:r>
            <w:proofErr w:type="spellEnd"/>
            <w:r>
              <w:rPr>
                <w:rFonts w:ascii="Times New Roman" w:hAnsi="Times New Roman"/>
                <w:sz w:val="24"/>
              </w:rPr>
              <w:t xml:space="preserve">, tostarp dzīvotspējas zuduma kritēriju, pēc kuru sasniegšanas veic samazināšanu. Ja viena vai vairākas iestādes var ierosināt vērtības samazināšanu, tad šīs iestādes uzskaita. Attiecībā uz katru no iestādēm norāda, vai juridiskais pamats iestādei ierosināt samazināšanu ir instrumenta līguma noteikumi (līgumiskā pieeja), vai arī šāds juridiskais pamats ir noteikts tiesību aktos (tiesību aktu pieeja). </w:t>
            </w:r>
          </w:p>
          <w:p w14:paraId="6D317CE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Teksts brīvā formā</w:t>
            </w:r>
          </w:p>
        </w:tc>
      </w:tr>
      <w:tr w:rsidR="00C85971" w:rsidRPr="007F4CC8" w14:paraId="6949351B" w14:textId="77777777" w:rsidTr="00D819DE">
        <w:trPr>
          <w:trHeight w:val="259"/>
        </w:trPr>
        <w:tc>
          <w:tcPr>
            <w:tcW w:w="1030" w:type="dxa"/>
            <w:vAlign w:val="center"/>
          </w:tcPr>
          <w:p w14:paraId="3C0E7AE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32.</w:t>
            </w:r>
          </w:p>
        </w:tc>
        <w:tc>
          <w:tcPr>
            <w:tcW w:w="7661" w:type="dxa"/>
            <w:shd w:val="clear" w:color="auto" w:fill="auto"/>
            <w:noWrap/>
            <w:vAlign w:val="bottom"/>
          </w:tcPr>
          <w:p w14:paraId="128DCCF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Ja vērtība samazināta – pilnībā vai daļēji samazināta</w:t>
            </w:r>
          </w:p>
          <w:p w14:paraId="64FD839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Iestādes norāda, vai instruments vienmēr tiks norakstīts pilnībā, to var norakstīt pilnībā vai samazināt daļēji vai arī tas vienmēr tiks samazināts daļēji. Palīdz novērtēt spēju absorbēt zaudējumus, veicot vērtības samazināšanu.</w:t>
            </w:r>
          </w:p>
          <w:p w14:paraId="6CADF97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Atlasīt no izvēlnes: [Vienmēr pilnībā] [Pilnībā vai daļēji] [Vienmēr daļēji]</w:t>
            </w:r>
          </w:p>
        </w:tc>
      </w:tr>
      <w:tr w:rsidR="00C85971" w:rsidRPr="007F4CC8" w14:paraId="7C1FC81B" w14:textId="77777777" w:rsidTr="00D819DE">
        <w:trPr>
          <w:trHeight w:val="259"/>
        </w:trPr>
        <w:tc>
          <w:tcPr>
            <w:tcW w:w="1030" w:type="dxa"/>
            <w:vAlign w:val="center"/>
          </w:tcPr>
          <w:p w14:paraId="38874106"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33.</w:t>
            </w:r>
          </w:p>
        </w:tc>
        <w:tc>
          <w:tcPr>
            <w:tcW w:w="7661" w:type="dxa"/>
            <w:shd w:val="clear" w:color="auto" w:fill="auto"/>
            <w:noWrap/>
            <w:vAlign w:val="bottom"/>
          </w:tcPr>
          <w:p w14:paraId="37D6527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Ja vērtība samazināta – pastāvīgi vai uz laiku</w:t>
            </w:r>
          </w:p>
          <w:p w14:paraId="34260CB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Attiecībā uz instrumentu, kuram samazina vērtību, iestādes norāda, vai samazināšana ir pastāvīga vai uz laiku. </w:t>
            </w:r>
          </w:p>
          <w:p w14:paraId="32C2F43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Atlasīt no izvēlnes: [Pastāvīga] [Uz laiku] [NA]</w:t>
            </w:r>
          </w:p>
        </w:tc>
      </w:tr>
      <w:tr w:rsidR="00C85971" w:rsidRPr="007F4CC8" w14:paraId="77828B7A" w14:textId="77777777" w:rsidTr="00D819DE">
        <w:trPr>
          <w:trHeight w:val="259"/>
        </w:trPr>
        <w:tc>
          <w:tcPr>
            <w:tcW w:w="1030" w:type="dxa"/>
            <w:vAlign w:val="center"/>
          </w:tcPr>
          <w:p w14:paraId="6A4CA3C0"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34.</w:t>
            </w:r>
          </w:p>
        </w:tc>
        <w:tc>
          <w:tcPr>
            <w:tcW w:w="7661" w:type="dxa"/>
            <w:shd w:val="clear" w:color="auto" w:fill="auto"/>
            <w:noWrap/>
            <w:vAlign w:val="bottom"/>
          </w:tcPr>
          <w:p w14:paraId="1932E4F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Ja vērtība samazināta uz laiku – atjaunināšanas mehānisma apraksts </w:t>
            </w:r>
          </w:p>
          <w:p w14:paraId="508717B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Iestādes apraksta atjaunināšanas mehānismu.</w:t>
            </w:r>
          </w:p>
          <w:p w14:paraId="69A4EF70"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Teksts brīvā formā</w:t>
            </w:r>
          </w:p>
        </w:tc>
      </w:tr>
      <w:tr w:rsidR="00C85971" w:rsidRPr="007F4CC8" w14:paraId="154793E4" w14:textId="77777777" w:rsidTr="00D819DE">
        <w:trPr>
          <w:trHeight w:val="259"/>
        </w:trPr>
        <w:tc>
          <w:tcPr>
            <w:tcW w:w="1030" w:type="dxa"/>
            <w:vAlign w:val="center"/>
          </w:tcPr>
          <w:p w14:paraId="662DC7D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34.a</w:t>
            </w:r>
          </w:p>
        </w:tc>
        <w:tc>
          <w:tcPr>
            <w:tcW w:w="7661" w:type="dxa"/>
            <w:shd w:val="clear" w:color="auto" w:fill="auto"/>
            <w:noWrap/>
            <w:vAlign w:val="bottom"/>
          </w:tcPr>
          <w:p w14:paraId="0557B0E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Subordinācijas veids (tikai atbilstīgām saistībām)</w:t>
            </w:r>
          </w:p>
          <w:p w14:paraId="102AAA8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Iestādes norāda, vai instruments atbilst kādam no subordinācijas veidiem, kas aprakstīti </w:t>
            </w:r>
            <w:r>
              <w:rPr>
                <w:rFonts w:ascii="Times New Roman" w:hAnsi="Times New Roman"/>
                <w:i/>
                <w:sz w:val="24"/>
              </w:rPr>
              <w:t>CRR</w:t>
            </w:r>
            <w:r>
              <w:rPr>
                <w:rFonts w:ascii="Times New Roman" w:hAnsi="Times New Roman"/>
                <w:sz w:val="24"/>
              </w:rPr>
              <w:t xml:space="preserve"> 72.b panta 2. punkta d) apakšpunkta i), ii) un iii) punktā. </w:t>
            </w:r>
          </w:p>
          <w:p w14:paraId="4FDC7BEB"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lastRenderedPageBreak/>
              <w:t>Atlasīt no izvēlnes:</w:t>
            </w:r>
          </w:p>
          <w:p w14:paraId="588ACAC6"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 [Līgumiska] ja instruments atbilst prasībām, kas noteiktas </w:t>
            </w:r>
            <w:r>
              <w:rPr>
                <w:rFonts w:ascii="Times New Roman" w:hAnsi="Times New Roman"/>
                <w:sz w:val="24"/>
              </w:rPr>
              <w:t>CRR</w:t>
            </w:r>
            <w:r>
              <w:rPr>
                <w:rFonts w:ascii="Times New Roman" w:hAnsi="Times New Roman"/>
                <w:i/>
                <w:sz w:val="24"/>
              </w:rPr>
              <w:t xml:space="preserve"> 72.b panta 2. punkta d) apakšpunkta i) punktā;</w:t>
            </w:r>
          </w:p>
          <w:p w14:paraId="5F91F70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 [Likumiska] ja instruments atbilst prasībām, kas noteiktas </w:t>
            </w:r>
            <w:r>
              <w:rPr>
                <w:rFonts w:ascii="Times New Roman" w:hAnsi="Times New Roman"/>
                <w:sz w:val="24"/>
              </w:rPr>
              <w:t>CRR</w:t>
            </w:r>
            <w:r>
              <w:rPr>
                <w:rFonts w:ascii="Times New Roman" w:hAnsi="Times New Roman"/>
                <w:i/>
                <w:sz w:val="24"/>
              </w:rPr>
              <w:t xml:space="preserve"> 72.b panta 2. punkta d) apakšpunkta ii) punktā;</w:t>
            </w:r>
          </w:p>
          <w:p w14:paraId="7DBFA7D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[Strukturēta] ja instruments atbilst prasībām, kas noteiktas </w:t>
            </w:r>
            <w:r>
              <w:rPr>
                <w:rFonts w:ascii="Times New Roman" w:hAnsi="Times New Roman"/>
                <w:sz w:val="24"/>
              </w:rPr>
              <w:t>CRR</w:t>
            </w:r>
            <w:r>
              <w:rPr>
                <w:rFonts w:ascii="Times New Roman" w:hAnsi="Times New Roman"/>
                <w:i/>
                <w:sz w:val="24"/>
              </w:rPr>
              <w:t xml:space="preserve"> 72.b panta 2. punkta d) apakšpunkta iii) punktā; </w:t>
            </w:r>
          </w:p>
          <w:p w14:paraId="3C97593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 xml:space="preserve">[Izņēmums no subordinācijas] ja instruments neatbilst nevienam no iepriekš minētajiem subordinācijas veidiem un ja iestādei atbilstoši </w:t>
            </w:r>
            <w:r>
              <w:rPr>
                <w:rFonts w:ascii="Times New Roman" w:hAnsi="Times New Roman"/>
                <w:sz w:val="24"/>
              </w:rPr>
              <w:t>CRR</w:t>
            </w:r>
            <w:r>
              <w:rPr>
                <w:rFonts w:ascii="Times New Roman" w:hAnsi="Times New Roman"/>
                <w:i/>
                <w:sz w:val="24"/>
              </w:rPr>
              <w:t xml:space="preserve"> 72.b panta 4. punktam ir atļauts iekļaut nesubordinētas saistības kā atbilstīgo saistību posteņus.</w:t>
            </w:r>
          </w:p>
        </w:tc>
      </w:tr>
      <w:tr w:rsidR="00C85971" w:rsidRPr="007F4CC8" w14:paraId="338C8AE0" w14:textId="77777777" w:rsidTr="00D819DE">
        <w:trPr>
          <w:trHeight w:val="259"/>
        </w:trPr>
        <w:tc>
          <w:tcPr>
            <w:tcW w:w="1030" w:type="dxa"/>
            <w:vAlign w:val="center"/>
          </w:tcPr>
          <w:p w14:paraId="760148A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lastRenderedPageBreak/>
              <w:t>EU-34.b</w:t>
            </w:r>
          </w:p>
        </w:tc>
        <w:tc>
          <w:tcPr>
            <w:tcW w:w="7661" w:type="dxa"/>
            <w:shd w:val="clear" w:color="auto" w:fill="auto"/>
            <w:noWrap/>
            <w:vAlign w:val="bottom"/>
          </w:tcPr>
          <w:p w14:paraId="2A4DED3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Instrumenta prioritāte parastajā maksātnespējas procedūrā</w:t>
            </w:r>
          </w:p>
          <w:p w14:paraId="0A912A4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Iestādes norāda instrumenta prioritāti parastajā maksātnespējas procedūrā.</w:t>
            </w:r>
          </w:p>
          <w:p w14:paraId="7E0F7F1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Kā definēts [</w:t>
            </w:r>
            <w:r>
              <w:rPr>
                <w:rFonts w:ascii="Times New Roman" w:hAnsi="Times New Roman"/>
                <w:sz w:val="24"/>
              </w:rPr>
              <w:t>ITS</w:t>
            </w:r>
            <w:r>
              <w:rPr>
                <w:rFonts w:ascii="Times New Roman" w:hAnsi="Times New Roman"/>
                <w:i/>
                <w:sz w:val="24"/>
              </w:rPr>
              <w:t xml:space="preserve"> par </w:t>
            </w:r>
            <w:r>
              <w:rPr>
                <w:rFonts w:ascii="Times New Roman" w:hAnsi="Times New Roman"/>
                <w:sz w:val="24"/>
              </w:rPr>
              <w:t>MREL</w:t>
            </w:r>
            <w:r>
              <w:rPr>
                <w:rFonts w:ascii="Times New Roman" w:hAnsi="Times New Roman"/>
                <w:i/>
                <w:sz w:val="24"/>
              </w:rPr>
              <w:t xml:space="preserve"> ziņojumiem].</w:t>
            </w:r>
          </w:p>
        </w:tc>
      </w:tr>
      <w:tr w:rsidR="00C85971" w:rsidRPr="007F4CC8" w14:paraId="0010F19A" w14:textId="77777777" w:rsidTr="00D819DE">
        <w:trPr>
          <w:trHeight w:val="259"/>
        </w:trPr>
        <w:tc>
          <w:tcPr>
            <w:tcW w:w="1030" w:type="dxa"/>
            <w:vAlign w:val="center"/>
          </w:tcPr>
          <w:p w14:paraId="31B87949"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35.</w:t>
            </w:r>
          </w:p>
        </w:tc>
        <w:tc>
          <w:tcPr>
            <w:tcW w:w="7661" w:type="dxa"/>
            <w:shd w:val="clear" w:color="auto" w:fill="auto"/>
            <w:noWrap/>
            <w:vAlign w:val="bottom"/>
          </w:tcPr>
          <w:p w14:paraId="0D11AB0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Pozīcija subordinācijas hierarhijā likvidācijas gadījumā (precizē tāda instrumenta veidu, kas hierarhijā ir nākamais virs instrumenta)</w:t>
            </w:r>
          </w:p>
          <w:p w14:paraId="79DC012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Iestādes norāda instrumentu, kuram tas ir vistiešāk subordinēts. Attiecīgā gadījumā bankām aizpildītā galveno iezīmju veidnē jānorāda instrumentu, kuriem šis instruments ir vistiešāk subordinēts, aiļu numurus.</w:t>
            </w:r>
          </w:p>
          <w:p w14:paraId="08249FB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Teksts brīvā formā</w:t>
            </w:r>
          </w:p>
        </w:tc>
      </w:tr>
      <w:tr w:rsidR="00C85971" w:rsidRPr="007F4CC8" w14:paraId="772A47FC" w14:textId="77777777" w:rsidTr="00D819DE">
        <w:trPr>
          <w:trHeight w:val="259"/>
        </w:trPr>
        <w:tc>
          <w:tcPr>
            <w:tcW w:w="1030" w:type="dxa"/>
            <w:vAlign w:val="center"/>
          </w:tcPr>
          <w:p w14:paraId="25114F8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36.</w:t>
            </w:r>
          </w:p>
        </w:tc>
        <w:tc>
          <w:tcPr>
            <w:tcW w:w="7661" w:type="dxa"/>
            <w:shd w:val="clear" w:color="auto" w:fill="auto"/>
            <w:noWrap/>
            <w:vAlign w:val="bottom"/>
          </w:tcPr>
          <w:p w14:paraId="2425AD5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Prasībām neatbilstīgas pārejas posma iezīmes</w:t>
            </w:r>
          </w:p>
          <w:p w14:paraId="5476BC6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Iestādes norāda, vai pastāv neatbilstīgas iezīmes.</w:t>
            </w:r>
          </w:p>
          <w:p w14:paraId="6A270CF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Atlasīt no izvēlnes: [Jā] [Nē]</w:t>
            </w:r>
          </w:p>
        </w:tc>
      </w:tr>
      <w:tr w:rsidR="00C85971" w:rsidRPr="007F4CC8" w14:paraId="54FB02B7" w14:textId="77777777" w:rsidTr="00D819DE">
        <w:trPr>
          <w:trHeight w:val="259"/>
        </w:trPr>
        <w:tc>
          <w:tcPr>
            <w:tcW w:w="1030" w:type="dxa"/>
            <w:vAlign w:val="center"/>
          </w:tcPr>
          <w:p w14:paraId="2C1874FA"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37.</w:t>
            </w:r>
          </w:p>
        </w:tc>
        <w:tc>
          <w:tcPr>
            <w:tcW w:w="7661" w:type="dxa"/>
            <w:shd w:val="clear" w:color="auto" w:fill="auto"/>
            <w:noWrap/>
            <w:vAlign w:val="bottom"/>
          </w:tcPr>
          <w:p w14:paraId="414C59F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Ja jā, precizē prasībām neatbilstīgās iezīmes</w:t>
            </w:r>
          </w:p>
          <w:p w14:paraId="2924F71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Ja ir prasībām neatbilstīgas iezīmes, iestādes precizē, kādas tās ir. </w:t>
            </w:r>
          </w:p>
          <w:p w14:paraId="0A28A97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Teksts brīvā formā</w:t>
            </w:r>
          </w:p>
        </w:tc>
      </w:tr>
      <w:tr w:rsidR="00C85971" w:rsidRPr="007F4CC8" w14:paraId="50E96DB8" w14:textId="77777777" w:rsidTr="00D819DE">
        <w:trPr>
          <w:trHeight w:val="259"/>
        </w:trPr>
        <w:tc>
          <w:tcPr>
            <w:tcW w:w="1030" w:type="dxa"/>
            <w:vAlign w:val="center"/>
          </w:tcPr>
          <w:p w14:paraId="3CA40C4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EU-37.a</w:t>
            </w:r>
          </w:p>
        </w:tc>
        <w:tc>
          <w:tcPr>
            <w:tcW w:w="7661" w:type="dxa"/>
            <w:shd w:val="clear" w:color="auto" w:fill="auto"/>
            <w:noWrap/>
            <w:vAlign w:val="bottom"/>
          </w:tcPr>
          <w:p w14:paraId="7C7906C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Saite uz visiem instrumenta noteikumiem un nosacījumiem (zīmes/norādes)</w:t>
            </w:r>
          </w:p>
          <w:p w14:paraId="4A0585C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Iestādes iekļauj hipersaiti, kas ļauj piekļūt emisijas prospektam, tajā skaitā visiem instrumenta noteikumiem un nosacījumiem.</w:t>
            </w:r>
          </w:p>
        </w:tc>
      </w:tr>
    </w:tbl>
    <w:p w14:paraId="26230A8E" w14:textId="77777777" w:rsidR="00C85971" w:rsidRPr="007F4CC8" w:rsidRDefault="00C85971" w:rsidP="00C85971">
      <w:pPr>
        <w:rPr>
          <w:rFonts w:ascii="Times New Roman" w:hAnsi="Times New Roman" w:cs="Times New Roman"/>
          <w:bCs/>
          <w:sz w:val="24"/>
        </w:rPr>
        <w:sectPr w:rsidR="00C85971" w:rsidRPr="007F4CC8"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pPr>
    </w:p>
    <w:p w14:paraId="2958B3D7" w14:textId="77777777" w:rsidR="004E3F4D" w:rsidRDefault="004E3F4D"/>
    <w:sectPr w:rsidR="004E3F4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E6DA2" w14:textId="77777777" w:rsidR="00F31365" w:rsidRDefault="00F31365" w:rsidP="00C85971">
      <w:r>
        <w:separator/>
      </w:r>
    </w:p>
  </w:endnote>
  <w:endnote w:type="continuationSeparator" w:id="0">
    <w:p w14:paraId="2F78553C" w14:textId="77777777" w:rsidR="00F31365" w:rsidRDefault="00F31365" w:rsidP="00C85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7893" w14:textId="77777777" w:rsidR="00C85971" w:rsidRDefault="00C859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6977093"/>
      <w:docPartObj>
        <w:docPartGallery w:val="Page Numbers (Bottom of Page)"/>
        <w:docPartUnique/>
      </w:docPartObj>
    </w:sdtPr>
    <w:sdtEndPr>
      <w:rPr>
        <w:noProof/>
      </w:rPr>
    </w:sdtEndPr>
    <w:sdtContent>
      <w:p w14:paraId="7DADBA3A" w14:textId="77777777" w:rsidR="00C85971" w:rsidRDefault="00C85971">
        <w:pPr>
          <w:pStyle w:val="Footer"/>
          <w:jc w:val="right"/>
        </w:pPr>
        <w:r>
          <w:fldChar w:fldCharType="begin"/>
        </w:r>
        <w:r>
          <w:instrText xml:space="preserve"> PAGE   \* MERGEFORMAT </w:instrText>
        </w:r>
        <w:r>
          <w:fldChar w:fldCharType="separate"/>
        </w:r>
        <w:r>
          <w:t>23</w:t>
        </w:r>
        <w:r>
          <w:fldChar w:fldCharType="end"/>
        </w:r>
      </w:p>
    </w:sdtContent>
  </w:sdt>
  <w:p w14:paraId="0CCE5017" w14:textId="77777777" w:rsidR="00C85971" w:rsidRDefault="00C859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2E15A" w14:textId="77777777" w:rsidR="00C85971" w:rsidRDefault="00C85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A6D33" w14:textId="77777777" w:rsidR="00F31365" w:rsidRDefault="00F31365" w:rsidP="00C85971">
      <w:r>
        <w:separator/>
      </w:r>
    </w:p>
  </w:footnote>
  <w:footnote w:type="continuationSeparator" w:id="0">
    <w:p w14:paraId="11DDB8F0" w14:textId="77777777" w:rsidR="00F31365" w:rsidRDefault="00F31365" w:rsidP="00C85971">
      <w:r>
        <w:continuationSeparator/>
      </w:r>
    </w:p>
  </w:footnote>
  <w:footnote w:id="1">
    <w:p w14:paraId="34C0D36E" w14:textId="21FBEC66" w:rsidR="00E05386" w:rsidRPr="00E05386" w:rsidRDefault="00C85971" w:rsidP="00E05386">
      <w:pPr>
        <w:jc w:val="both"/>
        <w:rPr>
          <w:rFonts w:ascii="Times New Roman" w:eastAsiaTheme="minorHAnsi" w:hAnsi="Times New Roman" w:cs="Times New Roman"/>
          <w:sz w:val="18"/>
          <w:szCs w:val="18"/>
        </w:rPr>
      </w:pPr>
      <w:r>
        <w:rPr>
          <w:rStyle w:val="FootnoteReference"/>
          <w:rFonts w:cstheme="minorHAnsi"/>
          <w:sz w:val="18"/>
        </w:rPr>
        <w:footnoteRef/>
      </w:r>
      <w:r>
        <w:rPr>
          <w:sz w:val="18"/>
        </w:rPr>
        <w:t xml:space="preserve"> </w:t>
      </w:r>
      <w:r>
        <w:rPr>
          <w:sz w:val="18"/>
        </w:rPr>
        <w:tab/>
        <w:t xml:space="preserve">Eiropas Parlamenta un Padomes Regula (ES) Nr. 575/2013 (2013. gada 26. jūnijs) par </w:t>
      </w:r>
      <w:proofErr w:type="spellStart"/>
      <w:r>
        <w:rPr>
          <w:sz w:val="18"/>
        </w:rPr>
        <w:t>prudenciālajām</w:t>
      </w:r>
      <w:proofErr w:type="spellEnd"/>
      <w:r>
        <w:rPr>
          <w:sz w:val="18"/>
        </w:rPr>
        <w:t xml:space="preserve"> prasībām attiecībā uz kredītiestādēm, un ar ko groza Regulu (ES) Nr. 648/2012, kas grozīta ar Regulu (ES) 2024/1623 </w:t>
      </w:r>
      <w:r>
        <w:rPr>
          <w:color w:val="444444"/>
          <w:sz w:val="18"/>
        </w:rPr>
        <w:t>(</w:t>
      </w:r>
      <w:hyperlink r:id="rId1" w:history="1">
        <w:r>
          <w:rPr>
            <w:color w:val="800080"/>
            <w:sz w:val="18"/>
            <w:u w:val="single"/>
          </w:rPr>
          <w:t>OV L 176, 27.6.2013., 1. lpp.</w:t>
        </w:r>
      </w:hyperlink>
      <w:r>
        <w:rPr>
          <w:color w:val="800080"/>
          <w:sz w:val="18"/>
          <w:u w:val="single"/>
        </w:rPr>
        <w:t xml:space="preserve">; </w:t>
      </w:r>
      <w:hyperlink r:id="rId2" w:history="1">
        <w:r>
          <w:rPr>
            <w:rStyle w:val="Hyperlink"/>
            <w:sz w:val="18"/>
          </w:rPr>
          <w:t>Regula – ES – 2024/1623 – LV – EUR-</w:t>
        </w:r>
        <w:proofErr w:type="spellStart"/>
        <w:r>
          <w:rPr>
            <w:rStyle w:val="Hyperlink"/>
            <w:sz w:val="18"/>
          </w:rPr>
          <w:t>Lex</w:t>
        </w:r>
        <w:proofErr w:type="spellEnd"/>
        <w:r>
          <w:rPr>
            <w:rStyle w:val="Hyperlink"/>
            <w:sz w:val="18"/>
          </w:rPr>
          <w:t xml:space="preserve"> (europa.eu)</w:t>
        </w:r>
      </w:hyperlink>
      <w:r>
        <w:rPr>
          <w:color w:val="444444"/>
        </w:rPr>
        <w:t>)</w:t>
      </w:r>
      <w:r>
        <w:t>.</w:t>
      </w:r>
    </w:p>
    <w:p w14:paraId="00404E50" w14:textId="647BF648" w:rsidR="00C85971" w:rsidRPr="00222AAB" w:rsidRDefault="00C85971" w:rsidP="00C85971">
      <w:pPr>
        <w:pStyle w:val="FootnoteText"/>
        <w:rPr>
          <w:rFonts w:cstheme="minorHAnsi"/>
        </w:rPr>
      </w:pPr>
    </w:p>
    <w:p w14:paraId="3E08FCB9" w14:textId="77777777" w:rsidR="00C85971" w:rsidRPr="00222AAB" w:rsidRDefault="00C85971" w:rsidP="00C85971">
      <w:pPr>
        <w:pStyle w:val="FootnoteText"/>
        <w:rPr>
          <w:rFonts w:cstheme="minorHAnsi"/>
        </w:rPr>
      </w:pPr>
    </w:p>
  </w:footnote>
  <w:footnote w:id="2">
    <w:p w14:paraId="79D41EBF" w14:textId="77777777" w:rsidR="00C85971" w:rsidRPr="00222AAB" w:rsidRDefault="00C85971" w:rsidP="00C85971">
      <w:pPr>
        <w:pStyle w:val="FootnoteText"/>
        <w:rPr>
          <w:rFonts w:cstheme="minorHAnsi"/>
        </w:rPr>
      </w:pPr>
    </w:p>
    <w:p w14:paraId="59AC6FEF" w14:textId="77777777" w:rsidR="00C85971" w:rsidRPr="00222AAB" w:rsidRDefault="00C85971" w:rsidP="00C85971">
      <w:pPr>
        <w:pStyle w:val="FootnoteText"/>
        <w:rPr>
          <w:rFonts w:cstheme="minorHAnsi"/>
        </w:rPr>
      </w:pPr>
    </w:p>
  </w:footnote>
  <w:footnote w:id="3">
    <w:p w14:paraId="474F090D" w14:textId="77777777" w:rsidR="00C85971" w:rsidRPr="00222AAB" w:rsidRDefault="00C85971" w:rsidP="00C85971">
      <w:pPr>
        <w:pStyle w:val="FootnoteText"/>
        <w:rPr>
          <w:rFonts w:cstheme="minorHAnsi"/>
        </w:rPr>
      </w:pPr>
      <w:r>
        <w:rPr>
          <w:rStyle w:val="FootnoteReference"/>
          <w:rFonts w:cstheme="minorHAnsi"/>
        </w:rPr>
        <w:footnoteRef/>
      </w:r>
      <w:r>
        <w:t xml:space="preserve"> </w:t>
      </w:r>
      <w:r>
        <w:tab/>
        <w:t xml:space="preserve">EIROPAS PARLAMENTA UN PADOMES DIREKTĪVA (ES) 2019/879 (2019. gada 20. maijs), ar ko groza Direktīvu 2014/59/ES attiecībā uz zaudējumu absorbcijas un </w:t>
      </w:r>
      <w:proofErr w:type="spellStart"/>
      <w:r>
        <w:t>rekapitalizācijas</w:t>
      </w:r>
      <w:proofErr w:type="spellEnd"/>
      <w:r>
        <w:t xml:space="preserve"> spēju kredītiestādēm un ieguldījumu brokeru sabiedrībām un Direktīvu 98/26/EK (OV L 150, 7.6.2019., 296.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2D79B" w14:textId="2F5C3B73" w:rsidR="00C85971" w:rsidRDefault="00E05386">
    <w:pPr>
      <w:pStyle w:val="Header"/>
    </w:pPr>
    <w:r>
      <w:rPr>
        <w:noProof/>
      </w:rPr>
      <mc:AlternateContent>
        <mc:Choice Requires="wps">
          <w:drawing>
            <wp:anchor distT="0" distB="0" distL="0" distR="0" simplePos="0" relativeHeight="251659264" behindDoc="0" locked="0" layoutInCell="1" allowOverlap="1" wp14:anchorId="00618692" wp14:editId="0C4D650A">
              <wp:simplePos x="635" y="635"/>
              <wp:positionH relativeFrom="page">
                <wp:align>left</wp:align>
              </wp:positionH>
              <wp:positionV relativeFrom="page">
                <wp:align>top</wp:align>
              </wp:positionV>
              <wp:extent cx="1273175" cy="376555"/>
              <wp:effectExtent l="0" t="0" r="3175" b="4445"/>
              <wp:wrapNone/>
              <wp:docPr id="1778809381" name="Text Box 2"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3AA7659" w14:textId="0D8AEC75" w:rsidR="00E05386" w:rsidRPr="00E05386" w:rsidRDefault="00E05386" w:rsidP="00E05386">
                          <w:pPr>
                            <w:rPr>
                              <w:rFonts w:ascii="Calibri" w:eastAsia="Calibri" w:hAnsi="Calibri" w:cs="Calibri"/>
                              <w:noProof/>
                              <w:color w:val="000000"/>
                              <w:sz w:val="24"/>
                            </w:rPr>
                          </w:pPr>
                          <w:r>
                            <w:rPr>
                              <w:rFonts w:ascii="Calibri" w:hAnsi="Calibri"/>
                              <w:color w:val="000000"/>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0618692" id="_x0000_t202" coordsize="21600,21600" o:spt="202" path="m,l,21600r21600,l21600,xe">
              <v:stroke joinstyle="miter"/>
              <v:path gradientshapeok="t" o:connecttype="rect"/>
            </v:shapetype>
            <v:shape id="Text Box 2" o:spid="_x0000_s1026" type="#_x0000_t202" alt="Title:  - Description: EBI oficiālai lietošanai"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13AA7659" w14:textId="0D8AEC75"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FEB7C" w14:textId="3473DD13" w:rsidR="00C85971" w:rsidRDefault="00E05386">
    <w:pPr>
      <w:pStyle w:val="Header"/>
    </w:pPr>
    <w:r>
      <w:rPr>
        <w:noProof/>
      </w:rPr>
      <mc:AlternateContent>
        <mc:Choice Requires="wps">
          <w:drawing>
            <wp:anchor distT="0" distB="0" distL="0" distR="0" simplePos="0" relativeHeight="251660288" behindDoc="0" locked="0" layoutInCell="1" allowOverlap="1" wp14:anchorId="5BF4F239" wp14:editId="776ABDFC">
              <wp:simplePos x="1076325" y="447675"/>
              <wp:positionH relativeFrom="page">
                <wp:align>left</wp:align>
              </wp:positionH>
              <wp:positionV relativeFrom="page">
                <wp:align>top</wp:align>
              </wp:positionV>
              <wp:extent cx="1273175" cy="376555"/>
              <wp:effectExtent l="0" t="0" r="3175" b="4445"/>
              <wp:wrapNone/>
              <wp:docPr id="5229062" name="Text Box 3"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960CC8F" w14:textId="21946EF4" w:rsidR="00E05386" w:rsidRPr="00E05386" w:rsidRDefault="00E05386" w:rsidP="00E05386">
                          <w:pPr>
                            <w:rPr>
                              <w:rFonts w:ascii="Calibri" w:eastAsia="Calibri" w:hAnsi="Calibri" w:cs="Calibri"/>
                              <w:noProof/>
                              <w:color w:val="000000"/>
                              <w:sz w:val="24"/>
                            </w:rPr>
                          </w:pPr>
                          <w:r>
                            <w:rPr>
                              <w:rFonts w:ascii="Calibri" w:hAnsi="Calibri"/>
                              <w:color w:val="000000"/>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BF4F239" id="_x0000_t202" coordsize="21600,21600" o:spt="202" path="m,l,21600r21600,l21600,xe">
              <v:stroke joinstyle="miter"/>
              <v:path gradientshapeok="t" o:connecttype="rect"/>
            </v:shapetype>
            <v:shape id="Text Box 3" o:spid="_x0000_s1027" type="#_x0000_t202" alt="Title:  - Description: EBI oficiālai lietošanai"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fill o:detectmouseclick="t"/>
              <v:textbox style="mso-fit-shape-to-text:t" inset="20pt,15pt,0,0">
                <w:txbxContent>
                  <w:p w14:paraId="4960CC8F" w14:textId="21946EF4"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A87E1" w14:textId="641F5E3F" w:rsidR="00C85971" w:rsidRDefault="00E05386">
    <w:pPr>
      <w:pStyle w:val="Header"/>
    </w:pPr>
    <w:r>
      <w:rPr>
        <w:noProof/>
      </w:rPr>
      <mc:AlternateContent>
        <mc:Choice Requires="wps">
          <w:drawing>
            <wp:anchor distT="0" distB="0" distL="0" distR="0" simplePos="0" relativeHeight="251658240" behindDoc="0" locked="0" layoutInCell="1" allowOverlap="1" wp14:anchorId="226F87F5" wp14:editId="24620C14">
              <wp:simplePos x="635" y="635"/>
              <wp:positionH relativeFrom="page">
                <wp:align>left</wp:align>
              </wp:positionH>
              <wp:positionV relativeFrom="page">
                <wp:align>top</wp:align>
              </wp:positionV>
              <wp:extent cx="1273175" cy="376555"/>
              <wp:effectExtent l="0" t="0" r="3175" b="4445"/>
              <wp:wrapNone/>
              <wp:docPr id="1899883283" name="Text Box 1"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222DE17" w14:textId="7EAEF916" w:rsidR="00E05386" w:rsidRPr="00E05386" w:rsidRDefault="00E05386" w:rsidP="00E05386">
                          <w:pPr>
                            <w:rPr>
                              <w:rFonts w:ascii="Calibri" w:eastAsia="Calibri" w:hAnsi="Calibri" w:cs="Calibri"/>
                              <w:noProof/>
                              <w:color w:val="000000"/>
                              <w:sz w:val="24"/>
                            </w:rPr>
                          </w:pPr>
                          <w:r>
                            <w:rPr>
                              <w:rFonts w:ascii="Calibri" w:hAnsi="Calibri"/>
                              <w:color w:val="000000"/>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26F87F5" id="_x0000_t202" coordsize="21600,21600" o:spt="202" path="m,l,21600r21600,l21600,xe">
              <v:stroke joinstyle="miter"/>
              <v:path gradientshapeok="t" o:connecttype="rect"/>
            </v:shapetype>
            <v:shape id="Text Box 1" o:spid="_x0000_s1028" type="#_x0000_t202" alt="Title:  - Description: EBI oficiālai lietošanai"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3222DE17" w14:textId="7EAEF916"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212932861">
    <w:abstractNumId w:val="1"/>
  </w:num>
  <w:num w:numId="2" w16cid:durableId="30541397">
    <w:abstractNumId w:val="2"/>
  </w:num>
  <w:num w:numId="3" w16cid:durableId="524826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92165"/>
    <w:rsid w:val="00147591"/>
    <w:rsid w:val="0023015D"/>
    <w:rsid w:val="002E4F63"/>
    <w:rsid w:val="004E3F4D"/>
    <w:rsid w:val="0085507F"/>
    <w:rsid w:val="00992165"/>
    <w:rsid w:val="00C85971"/>
    <w:rsid w:val="00E05386"/>
    <w:rsid w:val="00F313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29EBD"/>
  <w15:chartTrackingRefBased/>
  <w15:docId w15:val="{45AD9854-D011-46A8-A2C2-0C983E6A8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97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85971"/>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C85971"/>
    <w:rPr>
      <w:rFonts w:eastAsiaTheme="minorEastAsia"/>
      <w:sz w:val="18"/>
      <w:szCs w:val="18"/>
      <w:lang w:val="lv-LV"/>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85971"/>
    <w:rPr>
      <w:rFonts w:asciiTheme="minorHAnsi" w:hAnsiTheme="minorHAnsi"/>
      <w:sz w:val="22"/>
      <w:szCs w:val="18"/>
      <w:vertAlign w:val="superscript"/>
    </w:rPr>
  </w:style>
  <w:style w:type="character" w:styleId="Hyperlink">
    <w:name w:val="Hyperlink"/>
    <w:basedOn w:val="DefaultParagraphFont"/>
    <w:uiPriority w:val="99"/>
    <w:rsid w:val="00C85971"/>
    <w:rPr>
      <w:color w:val="0563C1" w:themeColor="hyperlink"/>
      <w:u w:val="single"/>
    </w:rPr>
  </w:style>
  <w:style w:type="paragraph" w:customStyle="1" w:styleId="numberedparagraph">
    <w:name w:val="numbered paragraph"/>
    <w:basedOn w:val="Normal"/>
    <w:qFormat/>
    <w:rsid w:val="00C85971"/>
    <w:pPr>
      <w:numPr>
        <w:numId w:val="1"/>
      </w:numPr>
      <w:spacing w:before="240" w:after="120" w:line="276" w:lineRule="auto"/>
      <w:jc w:val="both"/>
    </w:pPr>
  </w:style>
  <w:style w:type="paragraph" w:customStyle="1" w:styleId="Annexetitre">
    <w:name w:val="Annexe titre"/>
    <w:basedOn w:val="Normal"/>
    <w:next w:val="Normal"/>
    <w:rsid w:val="00C85971"/>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C85971"/>
    <w:pPr>
      <w:ind w:left="720"/>
    </w:pPr>
    <w:rPr>
      <w:rFonts w:ascii="Calibri" w:eastAsia="Calibri" w:hAnsi="Calibri" w:cs="Times New Roman"/>
      <w:szCs w:val="22"/>
    </w:rPr>
  </w:style>
  <w:style w:type="paragraph" w:customStyle="1" w:styleId="TableTitle">
    <w:name w:val="TableTitle"/>
    <w:basedOn w:val="Normal"/>
    <w:next w:val="Normal"/>
    <w:link w:val="TableTitleChar"/>
    <w:rsid w:val="00C85971"/>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85971"/>
    <w:rPr>
      <w:rFonts w:ascii="Arial" w:eastAsia="MS Mincho" w:hAnsi="Arial" w:cs="Times New Roman"/>
      <w:b/>
      <w:noProof/>
      <w:szCs w:val="20"/>
    </w:rPr>
  </w:style>
  <w:style w:type="paragraph" w:styleId="Header">
    <w:name w:val="header"/>
    <w:basedOn w:val="Normal"/>
    <w:link w:val="HeaderChar"/>
    <w:uiPriority w:val="99"/>
    <w:unhideWhenUsed/>
    <w:rsid w:val="00C85971"/>
    <w:pPr>
      <w:tabs>
        <w:tab w:val="center" w:pos="4513"/>
        <w:tab w:val="right" w:pos="9026"/>
      </w:tabs>
    </w:pPr>
  </w:style>
  <w:style w:type="character" w:customStyle="1" w:styleId="HeaderChar">
    <w:name w:val="Header Char"/>
    <w:basedOn w:val="DefaultParagraphFont"/>
    <w:link w:val="Header"/>
    <w:uiPriority w:val="99"/>
    <w:rsid w:val="00C85971"/>
    <w:rPr>
      <w:rFonts w:eastAsiaTheme="minorEastAsia"/>
      <w:szCs w:val="24"/>
    </w:rPr>
  </w:style>
  <w:style w:type="paragraph" w:styleId="Footer">
    <w:name w:val="footer"/>
    <w:basedOn w:val="Normal"/>
    <w:link w:val="FooterChar"/>
    <w:uiPriority w:val="99"/>
    <w:unhideWhenUsed/>
    <w:rsid w:val="00C85971"/>
    <w:pPr>
      <w:tabs>
        <w:tab w:val="center" w:pos="4513"/>
        <w:tab w:val="right" w:pos="9026"/>
      </w:tabs>
    </w:pPr>
  </w:style>
  <w:style w:type="character" w:customStyle="1" w:styleId="FooterChar">
    <w:name w:val="Footer Char"/>
    <w:basedOn w:val="DefaultParagraphFont"/>
    <w:link w:val="Footer"/>
    <w:uiPriority w:val="99"/>
    <w:rsid w:val="00C85971"/>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14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LV/TXT/?uri=OJ:L_202401623" TargetMode="External"/><Relationship Id="rId1" Type="http://schemas.openxmlformats.org/officeDocument/2006/relationships/hyperlink" Target="https://eur-lex.europa.eu/legal-content/LV/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4A3F7D-A91D-4156-B5E0-AA917E2D9DE7}"/>
</file>

<file path=customXml/itemProps2.xml><?xml version="1.0" encoding="utf-8"?>
<ds:datastoreItem xmlns:ds="http://schemas.openxmlformats.org/officeDocument/2006/customXml" ds:itemID="{ED6AE481-BB12-4DF1-97FD-D5CAAD023B36}"/>
</file>

<file path=customXml/itemProps3.xml><?xml version="1.0" encoding="utf-8"?>
<ds:datastoreItem xmlns:ds="http://schemas.openxmlformats.org/officeDocument/2006/customXml" ds:itemID="{09E09ECE-52F1-42B1-859D-26DCD96D2DAC}"/>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14</TotalTime>
  <Pages>25</Pages>
  <Words>6459</Words>
  <Characters>41147</Characters>
  <Application>Microsoft Office Word</Application>
  <DocSecurity>0</DocSecurity>
  <Lines>979</Lines>
  <Paragraphs>595</Paragraphs>
  <ScaleCrop>false</ScaleCrop>
  <Company>XXXXXXX</Company>
  <LinksUpToDate>false</LinksUpToDate>
  <CharactersWithSpaces>47011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dc:description/>
  <cp:lastModifiedBy>KALLUDRA Ilir (LUX-S2FRC)</cp:lastModifiedBy>
  <cp:revision>6</cp:revision>
  <dcterms:created xsi:type="dcterms:W3CDTF">2021-03-11T11:52:00Z</dcterms:created>
  <dcterms:modified xsi:type="dcterms:W3CDTF">2024-10-18T12:23:00Z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713deb13,6a067a25,4fca06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2024-09-25T15:19:21Z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cd3cddb9-e889-4bbb-accd-ffb4f9292f32</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